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3" w:rsidRPr="00B11C13" w:rsidRDefault="00B11C13" w:rsidP="00B11C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Toc436040749"/>
      <w:r w:rsidRPr="00B11C13">
        <w:rPr>
          <w:rFonts w:ascii="Times New Roman" w:hAnsi="Times New Roman" w:cs="Times New Roman"/>
          <w:b/>
          <w:bCs/>
          <w:color w:val="auto"/>
          <w:sz w:val="32"/>
          <w:szCs w:val="32"/>
        </w:rPr>
        <w:t>Лесные ресурсы</w:t>
      </w:r>
    </w:p>
    <w:p w:rsidR="00B11C13" w:rsidRPr="00B11C13" w:rsidRDefault="00B11C13" w:rsidP="00B11C13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Cs w:val="24"/>
        </w:rPr>
      </w:pPr>
    </w:p>
    <w:p w:rsidR="00B11C13" w:rsidRPr="00B11C13" w:rsidRDefault="00B11C13" w:rsidP="00B11C13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УДК</w:t>
      </w:r>
      <w:r w:rsidR="00401411">
        <w:rPr>
          <w:rFonts w:ascii="Times New Roman" w:hAnsi="Times New Roman" w:cs="Times New Roman"/>
          <w:bCs/>
          <w:color w:val="auto"/>
          <w:szCs w:val="24"/>
        </w:rPr>
        <w:t xml:space="preserve"> 630*0</w:t>
      </w:r>
    </w:p>
    <w:p w:rsidR="00044CFC" w:rsidRPr="00B11C13" w:rsidRDefault="001B22BC" w:rsidP="00B11C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г</w:t>
      </w:r>
      <w:r w:rsidR="00362B4A"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лобальн</w:t>
      </w:r>
      <w:r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ом</w:t>
      </w:r>
      <w:r w:rsidR="00362B4A"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044CFC"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>чёт</w:t>
      </w:r>
      <w:r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044CFC" w:rsidRPr="00B11C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мировых лесов</w:t>
      </w:r>
      <w:bookmarkEnd w:id="0"/>
    </w:p>
    <w:p w:rsidR="00B11C13" w:rsidRDefault="00B11C13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</w:p>
    <w:p w:rsidR="00B11C13" w:rsidRDefault="00B11C13" w:rsidP="00B11C13">
      <w:pPr>
        <w:pStyle w:val="a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А.И. </w:t>
      </w:r>
      <w:r w:rsidRPr="000D1A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Писаренко, академик РАН, Российско</w:t>
      </w:r>
      <w:r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0D1A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обществ</w:t>
      </w: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D1A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лесоводов,</w:t>
      </w:r>
    </w:p>
    <w:p w:rsidR="00B11C13" w:rsidRPr="000D1A06" w:rsidRDefault="00B11C13" w:rsidP="00B11C13">
      <w:pPr>
        <w:pStyle w:val="a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D1A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В.В. Страхов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д.с.-х.н.,</w:t>
      </w:r>
      <w:r w:rsidRPr="000D1A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ВНИИЛМ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Рослесхоза</w:t>
      </w:r>
    </w:p>
    <w:p w:rsidR="00B11C13" w:rsidRDefault="00B11C13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</w:p>
    <w:p w:rsidR="00253FAC" w:rsidRPr="00C145F4" w:rsidRDefault="00253FAC" w:rsidP="00253FAC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</w:rPr>
      </w:pPr>
      <w:r w:rsidRPr="00253FAC">
        <w:rPr>
          <w:rFonts w:ascii="Times New Roman" w:hAnsi="Times New Roman" w:cs="Times New Roman"/>
          <w:color w:val="auto"/>
          <w:sz w:val="22"/>
        </w:rPr>
        <w:t>В статье рассмотрена история глобального учета лесов, осуществляемого ФАО, начиная с 1946 г. В статье содержится исчерпывающий анализ решений ФАО по поддержанию и усилению потенциала ФАО для предоставления на непрерывной основе информации о положении дел в области лесных ресурсов во всем мире</w:t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Авторы статьи </w:t>
      </w:r>
      <w:r>
        <w:rPr>
          <w:rFonts w:ascii="Times New Roman" w:hAnsi="Times New Roman" w:cs="Times New Roman"/>
          <w:color w:val="auto"/>
          <w:sz w:val="22"/>
        </w:rPr>
        <w:t>считают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, что дальнейшее улучшение системы ГОЛР, созданной ФАО, связано с повышением качества и уточнением количества предоставляемой странами информации, например, путем внедрения единообразных систем мониторинга и оценки национальных лесных ресурсов. Целесообразно повысить частоту обновления информации по ряду актуальных параметров (площадь лесов, запас леса на корню, запас углерода в лесах и т. д.). </w:t>
      </w:r>
      <w:r w:rsidR="002036BF">
        <w:rPr>
          <w:rFonts w:ascii="Times New Roman" w:hAnsi="Times New Roman" w:cs="Times New Roman"/>
          <w:color w:val="auto"/>
          <w:sz w:val="22"/>
        </w:rPr>
        <w:t>П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еречень информации, требующей практически ежегодного обновления, </w:t>
      </w:r>
      <w:r w:rsidR="002036BF">
        <w:rPr>
          <w:rFonts w:ascii="Times New Roman" w:hAnsi="Times New Roman" w:cs="Times New Roman"/>
          <w:color w:val="auto"/>
          <w:sz w:val="22"/>
        </w:rPr>
        <w:t xml:space="preserve">должен </w:t>
      </w:r>
      <w:r w:rsidRPr="00C145F4">
        <w:rPr>
          <w:rFonts w:ascii="Times New Roman" w:hAnsi="Times New Roman" w:cs="Times New Roman"/>
          <w:color w:val="auto"/>
          <w:sz w:val="22"/>
        </w:rPr>
        <w:t>в</w:t>
      </w:r>
      <w:r w:rsidR="002036BF">
        <w:rPr>
          <w:rFonts w:ascii="Times New Roman" w:hAnsi="Times New Roman" w:cs="Times New Roman"/>
          <w:color w:val="auto"/>
          <w:sz w:val="22"/>
        </w:rPr>
        <w:t>ключать</w:t>
      </w:r>
      <w:r w:rsidRPr="00C145F4">
        <w:rPr>
          <w:rFonts w:ascii="Times New Roman" w:hAnsi="Times New Roman" w:cs="Times New Roman"/>
          <w:color w:val="auto"/>
          <w:sz w:val="22"/>
        </w:rPr>
        <w:t>: 1) информаци</w:t>
      </w:r>
      <w:r w:rsidR="002036BF">
        <w:rPr>
          <w:rFonts w:ascii="Times New Roman" w:hAnsi="Times New Roman" w:cs="Times New Roman"/>
          <w:color w:val="auto"/>
          <w:sz w:val="22"/>
        </w:rPr>
        <w:t>ю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относительно темпов обезлесения и деградации национальных лесов</w:t>
      </w:r>
      <w:r w:rsidR="002036BF">
        <w:rPr>
          <w:rFonts w:ascii="Times New Roman" w:hAnsi="Times New Roman" w:cs="Times New Roman"/>
          <w:color w:val="auto"/>
          <w:sz w:val="22"/>
        </w:rPr>
        <w:t>;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2) динамик</w:t>
      </w:r>
      <w:r w:rsidR="002036BF">
        <w:rPr>
          <w:rFonts w:ascii="Times New Roman" w:hAnsi="Times New Roman" w:cs="Times New Roman"/>
          <w:color w:val="auto"/>
          <w:sz w:val="22"/>
        </w:rPr>
        <w:t>у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запасов лесного углерода</w:t>
      </w:r>
      <w:r w:rsidR="002036BF">
        <w:rPr>
          <w:rFonts w:ascii="Times New Roman" w:hAnsi="Times New Roman" w:cs="Times New Roman"/>
          <w:color w:val="auto"/>
          <w:sz w:val="22"/>
        </w:rPr>
        <w:t>;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3) динамик</w:t>
      </w:r>
      <w:r w:rsidR="002036BF">
        <w:rPr>
          <w:rFonts w:ascii="Times New Roman" w:hAnsi="Times New Roman" w:cs="Times New Roman"/>
          <w:color w:val="auto"/>
          <w:sz w:val="22"/>
        </w:rPr>
        <w:t>у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лесопосадок на землях, не имевших лесного покрова</w:t>
      </w:r>
      <w:r w:rsidR="002036BF">
        <w:rPr>
          <w:rFonts w:ascii="Times New Roman" w:hAnsi="Times New Roman" w:cs="Times New Roman"/>
          <w:color w:val="auto"/>
          <w:sz w:val="22"/>
        </w:rPr>
        <w:t>;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4) оценк</w:t>
      </w:r>
      <w:r w:rsidR="002036BF">
        <w:rPr>
          <w:rFonts w:ascii="Times New Roman" w:hAnsi="Times New Roman" w:cs="Times New Roman"/>
          <w:color w:val="auto"/>
          <w:sz w:val="22"/>
        </w:rPr>
        <w:t>у</w:t>
      </w:r>
      <w:r w:rsidRPr="00C145F4">
        <w:rPr>
          <w:rFonts w:ascii="Times New Roman" w:hAnsi="Times New Roman" w:cs="Times New Roman"/>
          <w:color w:val="auto"/>
          <w:sz w:val="22"/>
        </w:rPr>
        <w:t xml:space="preserve"> роли лесов в защите почв и водных ресурсов и обеспечении средств к существованию. </w:t>
      </w:r>
    </w:p>
    <w:p w:rsidR="00253FAC" w:rsidRPr="00401411" w:rsidRDefault="002036BF" w:rsidP="00306AA9">
      <w:pPr>
        <w:pStyle w:val="a3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2036BF">
        <w:rPr>
          <w:rFonts w:ascii="Times New Roman" w:hAnsi="Times New Roman" w:cs="Times New Roman"/>
          <w:i/>
          <w:color w:val="auto"/>
          <w:sz w:val="22"/>
          <w:szCs w:val="22"/>
        </w:rPr>
        <w:t xml:space="preserve">Ключевые слова: </w:t>
      </w:r>
      <w:r w:rsidR="00401411">
        <w:rPr>
          <w:rFonts w:ascii="Times New Roman" w:hAnsi="Times New Roman" w:cs="Times New Roman"/>
          <w:color w:val="auto"/>
          <w:sz w:val="22"/>
          <w:szCs w:val="22"/>
        </w:rPr>
        <w:t>леса, лесные ресурсы, глобальный учет лесов, глобальная оценка лесных ресурсов, национальные лесные ресурсы, ФАО.</w:t>
      </w:r>
    </w:p>
    <w:p w:rsidR="00253FAC" w:rsidRDefault="00253FAC" w:rsidP="00306AA9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44CFC" w:rsidRPr="00B11C13" w:rsidRDefault="00044CFC" w:rsidP="00306AA9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C13">
        <w:rPr>
          <w:rFonts w:ascii="Times New Roman" w:hAnsi="Times New Roman" w:cs="Times New Roman"/>
          <w:color w:val="auto"/>
          <w:sz w:val="24"/>
          <w:szCs w:val="24"/>
        </w:rPr>
        <w:t>В 1946 г</w:t>
      </w:r>
      <w:r w:rsidR="00306A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6AA9" w:rsidRPr="00306AA9">
        <w:rPr>
          <w:rFonts w:ascii="Times New Roman" w:hAnsi="Times New Roman" w:cs="Times New Roman"/>
          <w:color w:val="auto"/>
          <w:sz w:val="24"/>
          <w:szCs w:val="24"/>
        </w:rPr>
        <w:t>Продовольственная и сельскохозяйственная организация ООН</w:t>
      </w:r>
      <w:r w:rsidR="00306AA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B11C13">
        <w:rPr>
          <w:rFonts w:ascii="Times New Roman" w:hAnsi="Times New Roman" w:cs="Times New Roman"/>
          <w:color w:val="auto"/>
          <w:sz w:val="24"/>
          <w:szCs w:val="24"/>
        </w:rPr>
        <w:t>ФАО</w:t>
      </w:r>
      <w:r w:rsidR="00306AA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11C13">
        <w:rPr>
          <w:rFonts w:ascii="Times New Roman" w:hAnsi="Times New Roman" w:cs="Times New Roman"/>
          <w:color w:val="auto"/>
          <w:sz w:val="24"/>
          <w:szCs w:val="24"/>
        </w:rPr>
        <w:t xml:space="preserve"> приступила к работе над своей первой оценкой лесных ресурсов всего мира. Мандат на проведение этих оценок предусмотрен Уставом ФАО, который гласит, что «Организация собирает, анализирует, интерпретирует и распространяет информацию касательно питания, продовольствия и сельского хозяйства. Употребляемый в Уставе ФАО термин «сельское хозяйство» и его производные включают: рыбное хозяйство, морские продукты, лесное хозяйство и сырьевые продукты лесного хозяйства» (п. 1 ст. I).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Объем и содержание этих оценок со временем менялись, чтобы соответствовать менявшимся потребностям в информации, начиная с тенденций в поставках лесоматериалов в 60-х </w:t>
      </w:r>
      <w:r w:rsidR="00306AA9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>г</w:t>
      </w:r>
      <w:r w:rsidR="00306AA9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и кончая значением лесов для экологии в 70-х вплоть до 90-х г</w:t>
      </w:r>
      <w:r w:rsidR="0028154E">
        <w:rPr>
          <w:rFonts w:ascii="Times New Roman" w:hAnsi="Times New Roman" w:cs="Times New Roman"/>
          <w:color w:val="auto"/>
          <w:szCs w:val="24"/>
        </w:rPr>
        <w:t>г.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с особым упором на темпы вырубки лесов. </w:t>
      </w:r>
    </w:p>
    <w:p w:rsidR="00044CFC" w:rsidRPr="00B11C13" w:rsidRDefault="005D6F85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Ш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ест</w:t>
      </w:r>
      <w:r w:rsidRPr="00B11C13">
        <w:rPr>
          <w:rFonts w:ascii="Times New Roman" w:hAnsi="Times New Roman" w:cs="Times New Roman"/>
          <w:color w:val="auto"/>
          <w:szCs w:val="24"/>
        </w:rPr>
        <w:t>ая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сесси</w:t>
      </w:r>
      <w:r w:rsidRPr="00B11C13">
        <w:rPr>
          <w:rFonts w:ascii="Times New Roman" w:hAnsi="Times New Roman" w:cs="Times New Roman"/>
          <w:color w:val="auto"/>
          <w:szCs w:val="24"/>
        </w:rPr>
        <w:t>я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Конференции ФАО в 1951 г</w:t>
      </w:r>
      <w:r w:rsidR="0028154E">
        <w:rPr>
          <w:rFonts w:ascii="Times New Roman" w:hAnsi="Times New Roman" w:cs="Times New Roman"/>
          <w:color w:val="auto"/>
          <w:szCs w:val="24"/>
        </w:rPr>
        <w:t>.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рекомендова</w:t>
      </w:r>
      <w:r w:rsidRPr="00B11C13">
        <w:rPr>
          <w:rFonts w:ascii="Times New Roman" w:hAnsi="Times New Roman" w:cs="Times New Roman"/>
          <w:color w:val="auto"/>
          <w:szCs w:val="24"/>
        </w:rPr>
        <w:t>ла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поддержива</w:t>
      </w:r>
      <w:r w:rsidRPr="00B11C13">
        <w:rPr>
          <w:rFonts w:ascii="Times New Roman" w:hAnsi="Times New Roman" w:cs="Times New Roman"/>
          <w:color w:val="auto"/>
          <w:szCs w:val="24"/>
        </w:rPr>
        <w:t>ть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постоянный потенциал </w:t>
      </w:r>
      <w:r w:rsidR="000E534A" w:rsidRPr="00B11C13">
        <w:rPr>
          <w:rFonts w:ascii="Times New Roman" w:hAnsi="Times New Roman" w:cs="Times New Roman"/>
          <w:color w:val="auto"/>
          <w:szCs w:val="24"/>
        </w:rPr>
        <w:t xml:space="preserve">ФАО 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для предоставления на непрерывной основе информации о положении дел в области лесных ресурсов во всем мире. С тех пор с интервалом в </w:t>
      </w:r>
      <w:r w:rsidR="00372A3D">
        <w:rPr>
          <w:rFonts w:ascii="Times New Roman" w:hAnsi="Times New Roman" w:cs="Times New Roman"/>
          <w:color w:val="auto"/>
          <w:szCs w:val="24"/>
        </w:rPr>
        <w:t>5-10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лет ФАО организует проведение различных региональных и глобальных обследований лесов, причем форма каждого из них несколько отличается от предыдущих.  По мере улучшения знаний о лесных ресурсах на национальном уровне и по мере совершенствования технологии расширялся охват и улучшалось качество глобальных оценок лесных ресурсов.</w:t>
      </w:r>
    </w:p>
    <w:p w:rsidR="00372A3D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Глобальные оценки лесных ресурсов проводятся ФАО с 1948 г. Россия участвует в ГОЛР с 1980 г.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Статистические данные о мировом лесном покрове, опубликованные ФАО в 1948</w:t>
      </w:r>
      <w:r w:rsidR="00372A3D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1963 </w:t>
      </w:r>
      <w:r w:rsidR="00372A3D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>г</w:t>
      </w:r>
      <w:r w:rsidR="00372A3D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>, были собраны большей частью посредством анкет, разосланных странам. После 1980 г</w:t>
      </w:r>
      <w:r w:rsidR="00372A3D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оценки стали технически более совершенными, поскольку они проводились на основе анализа представленного странами справочного материала, подкрепленного экспертными оценками и данными дистанционного зондирования и статистического моделирования.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lastRenderedPageBreak/>
        <w:t>Статданные разных оценок с трудом поддаются сравнительному анализу из-за различий в базисной информации, методах и определениях. В то же время в случае определенных оценок можно добиться лучшей корреляции данных по отчетным периодам во многих странах, особенно благодаря информации, выработанной начиная с 1980 г</w:t>
      </w:r>
      <w:r w:rsidR="00372A3D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, когда стабилизовались параметры отчетности. В последующих оценках применялись последовательные определения для развивающихся стран. Все проведенные ФАО оценки лесов </w:t>
      </w:r>
      <w:r w:rsidR="00372A3D">
        <w:rPr>
          <w:rFonts w:ascii="Times New Roman" w:hAnsi="Times New Roman" w:cs="Times New Roman"/>
          <w:color w:val="auto"/>
          <w:szCs w:val="24"/>
        </w:rPr>
        <w:t>М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ира опубликованы и легко доступны на файлах ФАО.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Доклады с оценкой лесных ресурсов (далее – ОЛР) готовились ФАО для следующих периодов: 1946-1948, 1953, 1958, 1963 гг., середина 70-х г</w:t>
      </w:r>
      <w:r w:rsidR="00372A3D">
        <w:rPr>
          <w:rFonts w:ascii="Times New Roman" w:hAnsi="Times New Roman" w:cs="Times New Roman"/>
          <w:color w:val="auto"/>
          <w:szCs w:val="24"/>
        </w:rPr>
        <w:t>г.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(региональные оценки), 1980, 1988, 1990, 1995, 2000, 2005 и 2010 гг.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Первый глобальный обзор, названный «Лесные ресурсы </w:t>
      </w:r>
      <w:r w:rsidR="00372A3D">
        <w:rPr>
          <w:rFonts w:ascii="Times New Roman" w:hAnsi="Times New Roman" w:cs="Times New Roman"/>
          <w:color w:val="auto"/>
          <w:szCs w:val="24"/>
        </w:rPr>
        <w:t>М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ира» вышел в 1948 г. </w:t>
      </w:r>
      <w:r w:rsidR="00372A3D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372A3D">
        <w:rPr>
          <w:rFonts w:ascii="Times New Roman" w:hAnsi="Times New Roman" w:cs="Times New Roman"/>
          <w:color w:val="auto"/>
          <w:szCs w:val="24"/>
        </w:rPr>
        <w:t>1</w:t>
      </w:r>
      <w:r w:rsidR="00372A3D">
        <w:rPr>
          <w:rFonts w:ascii="Times New Roman" w:hAnsi="Times New Roman" w:cs="Times New Roman"/>
          <w:color w:val="auto"/>
          <w:szCs w:val="24"/>
        </w:rPr>
        <w:sym w:font="Symbol" w:char="F05D"/>
      </w:r>
      <w:r w:rsidR="007D3A51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>и был подготовлен на основе анкетного опроса всех стран. Были получены ответы от 101 страны, на долю которых приходилось тогда примерно 66 % лесов мира. В анкету были включены такие параметры, как площадь лесов (общая и производительных лесов), типы лесов по доступности лесных ресурсов, росту и валке. Один из примечательных выводов первого отчета сводился к отсутстви</w:t>
      </w:r>
      <w:r w:rsidR="007D3A51">
        <w:rPr>
          <w:rFonts w:ascii="Times New Roman" w:hAnsi="Times New Roman" w:cs="Times New Roman"/>
          <w:color w:val="auto"/>
          <w:szCs w:val="24"/>
        </w:rPr>
        <w:t>ю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7D3A51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надежной информации об инвентаризации лесов… и общепринятых определений некоторых из наиболее важных лесных терминов. В результате к недостаткам некоторых количественных оценок добавились еще сомнения относительно действительного значения некоторых из качественных характеристик»</w:t>
      </w:r>
      <w:r w:rsidR="007D3A51">
        <w:rPr>
          <w:rFonts w:ascii="Times New Roman" w:hAnsi="Times New Roman" w:cs="Times New Roman"/>
          <w:color w:val="auto"/>
          <w:szCs w:val="24"/>
        </w:rPr>
        <w:t xml:space="preserve"> </w:t>
      </w:r>
      <w:r w:rsidR="007D3A51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7D3A51">
        <w:rPr>
          <w:rFonts w:ascii="Times New Roman" w:hAnsi="Times New Roman" w:cs="Times New Roman"/>
          <w:color w:val="auto"/>
          <w:szCs w:val="24"/>
        </w:rPr>
        <w:t>2</w:t>
      </w:r>
      <w:r w:rsidR="007D3A51">
        <w:rPr>
          <w:rFonts w:ascii="Times New Roman" w:hAnsi="Times New Roman" w:cs="Times New Roman"/>
          <w:color w:val="auto"/>
          <w:szCs w:val="24"/>
        </w:rPr>
        <w:sym w:font="Symbol" w:char="F05D"/>
      </w:r>
      <w:r w:rsidRPr="00B11C13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При инвентаризации в 1953 г. на анкету ОЛР ответило 126 стран и территорий, на долю которых приходилось примерно 73% мировой площади лесов. Картина была дополнена информацией, заимствованной из ответов на анкету 1947 г. по десяти другим странам (на долю которых приходилось 3% общей мировой площади лесов), и официальной статистикой по остальным 57 странам, на долю которых приходится 24% мировой площади лесов. Результаты были опубликованы ФАО в 1955 г. под заглавием «Лесные ресурсы мира – результаты инвентаризации, проведенной в 1953 г. Департаментом лесного хозяйства ФАО».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Всемирная инвентаризация лесов 1958 г. была третьей в 5-летней серии, проведенной Отделом лесоводства и лесных продуктов ФАО. Для ОЛР использовались ответы 143 стран или территорий, на долю которых приходилось тогда 88% мировой площади лесов, дополненные ответами на анкету 1953 г</w:t>
      </w:r>
      <w:r w:rsidR="007D3A51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по 13 странам (2%) и на анкету 1947 г. по пяти странам (3%).</w:t>
      </w:r>
      <w:r w:rsidR="007D3A51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Внесение в 1958 г. необходимых изменений и уточнений в определения используемых принципов, разработка более четких определений лесов и уточнение таких понятий, как эксплуатационные леса и доступные леса, сказались на сопоставимости с результатами предыдущих оценок. Однако, данные по ряду стран об изменениях площади и других характеристик лесов планеты в 1953-1958 гг. были получены либо непосредственно от стран, либо их вычисляли путем сравнения ответов на анкеты изменения площади постоянных лесов, статуса управления... расширение доступных районов и эксплуатируемых лесов, а также облесенных районов в период между 1953 и 1957 гг. и т. д.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Во Всемирной инвентаризации лесов 196З г</w:t>
      </w:r>
      <w:r w:rsidR="007D3A51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>, результаты которой были опубликованы ФАО в 1965 г</w:t>
      </w:r>
      <w:r w:rsidR="007D3A51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, приняло участие несколько меньше стран (105 в сравнении со 130), «что по крайней мере частично объясняется временной перегрузкой руководства стран, обретающих независимость», как было отмечено в документе </w:t>
      </w:r>
      <w:r w:rsidR="00161374" w:rsidRPr="00B11C13">
        <w:rPr>
          <w:rFonts w:ascii="Times New Roman" w:hAnsi="Times New Roman" w:cs="Times New Roman"/>
          <w:color w:val="auto"/>
          <w:szCs w:val="24"/>
          <w:lang w:val="en-US"/>
        </w:rPr>
        <w:t>Forestry</w:t>
      </w:r>
      <w:r w:rsidR="00161374"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161374" w:rsidRPr="00B11C13">
        <w:rPr>
          <w:rFonts w:ascii="Times New Roman" w:hAnsi="Times New Roman" w:cs="Times New Roman"/>
          <w:color w:val="auto"/>
          <w:szCs w:val="24"/>
          <w:lang w:val="en-US"/>
        </w:rPr>
        <w:t>Paper</w:t>
      </w:r>
      <w:r w:rsidR="00161374"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161374" w:rsidRPr="00B11C13">
        <w:rPr>
          <w:rFonts w:ascii="Times New Roman" w:hAnsi="Times New Roman" w:cs="Times New Roman"/>
          <w:color w:val="auto"/>
          <w:szCs w:val="24"/>
          <w:lang w:val="en-US"/>
        </w:rPr>
        <w:t>FAO</w:t>
      </w:r>
      <w:r w:rsidR="00161374" w:rsidRPr="00B11C13">
        <w:rPr>
          <w:rFonts w:ascii="Times New Roman" w:hAnsi="Times New Roman" w:cs="Times New Roman"/>
          <w:color w:val="auto"/>
          <w:szCs w:val="24"/>
        </w:rPr>
        <w:t xml:space="preserve"> 147 за </w:t>
      </w:r>
      <w:r w:rsidRPr="00B11C13">
        <w:rPr>
          <w:rFonts w:ascii="Times New Roman" w:hAnsi="Times New Roman" w:cs="Times New Roman"/>
          <w:color w:val="auto"/>
          <w:szCs w:val="24"/>
        </w:rPr>
        <w:t>2005</w:t>
      </w:r>
      <w:r w:rsidR="00161374" w:rsidRPr="00B11C13">
        <w:rPr>
          <w:rFonts w:ascii="Times New Roman" w:hAnsi="Times New Roman" w:cs="Times New Roman"/>
          <w:color w:val="auto"/>
          <w:szCs w:val="24"/>
        </w:rPr>
        <w:t xml:space="preserve"> год</w:t>
      </w:r>
      <w:r w:rsidRPr="00B11C13">
        <w:rPr>
          <w:rFonts w:ascii="Times New Roman" w:hAnsi="Times New Roman" w:cs="Times New Roman"/>
          <w:color w:val="auto"/>
          <w:szCs w:val="24"/>
        </w:rPr>
        <w:t>. И на этот раз сопоставимость с результатами прежних обследований была ограниченной и, как было отмечено авторами отчета, «большие различия в данных некоторых стран (между результатами 1958 и 1963 гг.) объясняются скорее более глубокими знаниями о лесах или более четким применением определений, чем фактическим изменением лесных ресурсов». Основные параметры, по которым был проведен анализ в ходе Всемирной инвентаризации лесов 1963 г., включали площадь лесов (общую, производительных и охраняемых), владение лесами, статус управления, состав (хвойная и лиственная древесина), общий запас древостоя и вывозка.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период 1970-1979 гг. ФАО не проводила глобальных исследований состояния лесов планеты. Вместо этого была проведена серия региональных ОЛР с расчетом на то, что каждая из них будет более уместной и характерной для регионов. В конце 60-х г</w:t>
      </w:r>
      <w:r w:rsidR="007D3A51">
        <w:rPr>
          <w:rFonts w:ascii="Times New Roman" w:hAnsi="Times New Roman" w:cs="Times New Roman"/>
          <w:color w:val="auto"/>
          <w:szCs w:val="24"/>
        </w:rPr>
        <w:t>г.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ФАО разослала анкету во все промышленно развитые страны. Результаты были опубликованы в 1976 г. под названием «Лесные ресурсы в регионе Европы». Анкеты были также разосланы в страны Азии и Латинской Америки и результаты были опубликованы в изданиях «Лесные ресурсы в регионе Азии и Дальнего Востока» и «Оценка лесных ресурсов региона Латинской Америки». Аналогичная анкета была направлена в страны Африки отделением лесоустройства Королевской академии лесоводства Швеции, а результаты были опубликованы в изданиях </w:t>
      </w:r>
      <w:r w:rsidR="007D3A51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Лесные ресурсы Африки – подход к международной оценке лесных ресурсов</w:t>
      </w:r>
      <w:r w:rsidR="007D3A51">
        <w:rPr>
          <w:rFonts w:ascii="Times New Roman" w:hAnsi="Times New Roman" w:cs="Times New Roman"/>
          <w:color w:val="auto"/>
          <w:szCs w:val="24"/>
        </w:rPr>
        <w:t>»: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часть I: описания стран и часть II: региональный анализ.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ОЛР-1980 охватила 97% территории развивающихся стран, или 76 тропических стран: 37 в Африке, 16 в Азии и 23 в Латинской Америке и в Карибском бассейне. ОЛР-1980 отличало много особенностей. Она была самой масштабной за все предшествующее время, и во многих случаях с ней не могут сравниться даже более поздние оценки. Она также примечательна как первая оценка, в рамках которой впервые использовалось определение лесов с указанием измеримых параметров – сомкнутость древесного полога –10 %, минимальная высота деревьев – 7 м и минимальная площадь – 10 га </w:t>
      </w:r>
      <w:r w:rsidR="007D3A51">
        <w:rPr>
          <w:rFonts w:ascii="Times New Roman" w:hAnsi="Times New Roman" w:cs="Times New Roman"/>
          <w:color w:val="auto"/>
          <w:szCs w:val="24"/>
        </w:rPr>
        <w:t>(в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предыдущих оценках использовались относительно широкие определения, которые разные страны могли трактовать совершенно по-разному</w:t>
      </w:r>
      <w:r w:rsidR="007D3A51">
        <w:rPr>
          <w:rFonts w:ascii="Times New Roman" w:hAnsi="Times New Roman" w:cs="Times New Roman"/>
          <w:color w:val="auto"/>
          <w:szCs w:val="24"/>
        </w:rPr>
        <w:t>)</w:t>
      </w:r>
      <w:r w:rsidRPr="00B11C13">
        <w:rPr>
          <w:rFonts w:ascii="Times New Roman" w:hAnsi="Times New Roman" w:cs="Times New Roman"/>
          <w:color w:val="auto"/>
          <w:szCs w:val="24"/>
        </w:rPr>
        <w:t>. Данное последовательное определение обеспечивало параметры, необходимые для приведения информации по стране к общему стандарту. Кроме того, была проведена корректировка по времени на основе мнений экспертов для сведения информации к общим отчетным годам – 1976, 1980, 1981 и 1985.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ОЛР-1980 широко опиралась на существующую в странах документацию при формулировании оценок площади лесов (состояния и изменения), ресурсов плантационных насаждений и объема древесины. Существовавшая информация из многочисленных источников в странах была собрана и проанализирована. Эксперты ФАО организовали диалог с национальными и международными экспертами относительно применимости и надежности информации, что помогло подкрепить оценочные данные по странам. В ходе ОЛР было отмечено, что информация имеется в большом количестве, но ее сложно обнаруживать и обобщать согласованным образом, необходимым для проведения последовательного глобального обзора.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Набор статданных был дополнен расширенными описаниями, пояснительным текстом и качественной информацией. В ходе процесса ОЛР-1980 ФАО проводила обширную работу по инвентаризации лесов в тропических странах. На каждые </w:t>
      </w:r>
      <w:r w:rsidR="007D3A51">
        <w:rPr>
          <w:rFonts w:ascii="Times New Roman" w:hAnsi="Times New Roman" w:cs="Times New Roman"/>
          <w:color w:val="auto"/>
          <w:szCs w:val="24"/>
        </w:rPr>
        <w:t>2-3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страны приходилось примерно по одному проекту, и эксперты ФАО, причастные к проектам, внесли ценный вклад в результаты ОЛР. </w:t>
      </w:r>
      <w:r w:rsidR="007D3A51">
        <w:rPr>
          <w:rFonts w:ascii="Times New Roman" w:hAnsi="Times New Roman" w:cs="Times New Roman"/>
          <w:color w:val="auto"/>
          <w:szCs w:val="24"/>
        </w:rPr>
        <w:t>При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отсутстви</w:t>
      </w:r>
      <w:r w:rsidR="007D3A51">
        <w:rPr>
          <w:rFonts w:ascii="Times New Roman" w:hAnsi="Times New Roman" w:cs="Times New Roman"/>
          <w:color w:val="auto"/>
          <w:szCs w:val="24"/>
        </w:rPr>
        <w:t>и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информации по основным лесным массивам оценка проводилась путем ручной интерпретации спутниковой информации (масштаб 1:1</w:t>
      </w:r>
      <w:r w:rsidR="001C5F90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>000</w:t>
      </w:r>
      <w:r w:rsidR="001C5F90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>000). Это было сделано в отношении шести стран Латинской Америки, двух стран Африки, двух стран Азии и части территории двух других стран Азии. Такой интерпретации подверглось с помощью 55 космических снимков примерно 70-99% территории данных стран. Окончательная документация по ОЛР-1980 включает три тома обзоров лесов по странам (один том на каждый из регионов развивающихся стран), три региональных резюме и краткий основной доклад, опубликованный в серии документов ФАО, посвященных лесному хозяйству. Хотя результаты оценки не носили глобального характера, ОЛР-1980 вновь была использована в 1988 г. для подготовки промежуточной глобальной оценки.</w:t>
      </w:r>
    </w:p>
    <w:p w:rsidR="00044CFC" w:rsidRPr="00B11C13" w:rsidRDefault="00044CFC" w:rsidP="001C5F90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ОЛР-1990 </w:t>
      </w:r>
      <w:r w:rsidR="001C5F90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1C5F90">
        <w:rPr>
          <w:rFonts w:ascii="Times New Roman" w:hAnsi="Times New Roman" w:cs="Times New Roman"/>
          <w:color w:val="auto"/>
          <w:szCs w:val="24"/>
        </w:rPr>
        <w:t>3-6</w:t>
      </w:r>
      <w:r w:rsidR="001C5F90">
        <w:rPr>
          <w:rFonts w:ascii="Times New Roman" w:hAnsi="Times New Roman" w:cs="Times New Roman"/>
          <w:color w:val="auto"/>
          <w:szCs w:val="24"/>
        </w:rPr>
        <w:sym w:font="Symbol" w:char="F05D"/>
      </w:r>
      <w:r w:rsidR="001C5F90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были охвачены все развивающиеся и промышленно развитые страны и она отличалась двумя нововведениями: </w:t>
      </w:r>
    </w:p>
    <w:p w:rsidR="00044CFC" w:rsidRPr="00B11C13" w:rsidRDefault="00044CFC" w:rsidP="001C5F90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1) использованием разработанной компьютеризированной «модели обезлесения», которая применялась к данным развивающихся стран, чтобы свести статистические данные о площади лесов к общему отчетному году; </w:t>
      </w:r>
    </w:p>
    <w:p w:rsidR="00044CFC" w:rsidRPr="00B11C13" w:rsidRDefault="00044CFC" w:rsidP="001C5F90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2) проведением независимого пантропического дистанционного исследования изменений лесной площади на основе высокоразрешающих данных дистанционного зондирования.</w:t>
      </w:r>
    </w:p>
    <w:p w:rsidR="00044CFC" w:rsidRPr="00B11C13" w:rsidRDefault="00044CFC" w:rsidP="001C5F90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Цель ОЛР-1990 заключалась в совершенствовании оценок путем устранения элемента субъективности в мнениях экспертов при помощи статистической модели прогнозирования потерь площади лесов (и таким образом темпов обезлесения). В основу модели было положено изменение площади лесов, вычисленное путем сопоставления результатов нескольких доступных оценок, проводившихся в разные сроки. Темпы обезлесения были затем разделены на независимые переменные параметры для определения темпов потери лесов относительно изменения плотности населения в конкретных экологических зонах. Темпы изменения площади лесов были получены путем применения модели к имеющимся в наличии статданным по странам.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Преимущество метода, применявшегося в рамках ОЛР-1990, заключалось в достижении почти полного единообразия оценок лесных ресурсов</w:t>
      </w:r>
      <w:r w:rsidR="001C5F90">
        <w:rPr>
          <w:rFonts w:ascii="Times New Roman" w:hAnsi="Times New Roman" w:cs="Times New Roman"/>
          <w:color w:val="auto"/>
          <w:szCs w:val="24"/>
        </w:rPr>
        <w:t xml:space="preserve"> и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достигалось путем применения одинаковым образом модели почти ко всем развивающимся странам и упорядочивания получения статистик с помощью компьютерных программ. Недостатком метода, использовавшегося в рамках ОЛР-1990, является небольшое число переменных пара метров, применявшихся в алгоритме обезлесения, и небольшое число результатов наблюдений, на которых строилась модель, что вызывало относительно высокую случайную погрешность (т.е. низкую точность) в оценочных данных по странам.</w:t>
      </w:r>
    </w:p>
    <w:p w:rsidR="001C5F90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Ввиду многих неопределенностей, с которыми связана работа с существующими данными по странам, в рамках ОЛР-1990 было проведено дистанционное исследование лесов с целью получения тщательно контролируемого набора статданных о лесных ресурсах. Использование статистической выборки вместе с источником единообразных данных (спутниковая информация) и стандартными методами сбора является важным инструментом, обеспечивающим набор статданных для сравнения с </w:t>
      </w:r>
      <w:r w:rsidR="001C5F90">
        <w:rPr>
          <w:rFonts w:ascii="Times New Roman" w:hAnsi="Times New Roman" w:cs="Times New Roman"/>
          <w:color w:val="auto"/>
          <w:szCs w:val="24"/>
        </w:rPr>
        <w:t xml:space="preserve">результатами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по странам.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Исследование опиралось на статистическую выборку (10%) по тропическим лесам мира, состоявшую из 117 единиц, отобранных во всех тропических регионах мира. На основе выборки была проведена оценка состояния и изменений тропических лесов на региональном, экологическом и пантропическом уровнях (но не на национальном уровне). Каждая из единиц выборки включала космические снимки, сделанные в разные сроки с помощью спутника </w:t>
      </w:r>
      <w:r w:rsidR="001C5F90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Ландсат</w:t>
      </w:r>
      <w:r w:rsidR="001C5F90">
        <w:rPr>
          <w:rFonts w:ascii="Times New Roman" w:hAnsi="Times New Roman" w:cs="Times New Roman"/>
          <w:color w:val="auto"/>
          <w:szCs w:val="24"/>
        </w:rPr>
        <w:t>»</w:t>
      </w:r>
      <w:r w:rsidRPr="00B11C13">
        <w:rPr>
          <w:rFonts w:ascii="Times New Roman" w:hAnsi="Times New Roman" w:cs="Times New Roman"/>
          <w:color w:val="auto"/>
          <w:szCs w:val="24"/>
        </w:rPr>
        <w:t>, которые обеспечили исходный материал для производства статданных о лесах и о др</w:t>
      </w:r>
      <w:r w:rsidR="001C5F90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изменениях растительного покрова Земли в 1980-1990 г</w:t>
      </w:r>
      <w:r w:rsidR="001C5F90">
        <w:rPr>
          <w:rFonts w:ascii="Times New Roman" w:hAnsi="Times New Roman" w:cs="Times New Roman"/>
          <w:color w:val="auto"/>
          <w:szCs w:val="24"/>
        </w:rPr>
        <w:t>г.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Глобальная инвентаризация лесов 2000 г. </w:t>
      </w:r>
      <w:r w:rsidR="001C5F90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1C5F90">
        <w:rPr>
          <w:rFonts w:ascii="Times New Roman" w:hAnsi="Times New Roman" w:cs="Times New Roman"/>
          <w:color w:val="auto"/>
          <w:szCs w:val="24"/>
        </w:rPr>
        <w:t>7</w:t>
      </w:r>
      <w:r w:rsidR="001C5F90">
        <w:rPr>
          <w:rFonts w:ascii="Times New Roman" w:hAnsi="Times New Roman" w:cs="Times New Roman"/>
          <w:color w:val="auto"/>
          <w:szCs w:val="24"/>
        </w:rPr>
        <w:sym w:font="Symbol" w:char="F05D"/>
      </w:r>
      <w:r w:rsidR="001C5F90">
        <w:rPr>
          <w:rFonts w:ascii="Times New Roman" w:hAnsi="Times New Roman" w:cs="Times New Roman"/>
          <w:color w:val="auto"/>
          <w:szCs w:val="24"/>
        </w:rPr>
        <w:t xml:space="preserve"> </w:t>
      </w:r>
      <w:r w:rsidR="00DC4360" w:rsidRPr="00B11C13">
        <w:rPr>
          <w:rFonts w:ascii="Times New Roman" w:hAnsi="Times New Roman" w:cs="Times New Roman"/>
          <w:color w:val="auto"/>
          <w:szCs w:val="24"/>
        </w:rPr>
        <w:t>должна была отразить широкий диапазон преимуществ, предоставляемых лесом, и его функции</w:t>
      </w:r>
      <w:r w:rsidR="00DC4360">
        <w:rPr>
          <w:rFonts w:ascii="Times New Roman" w:hAnsi="Times New Roman" w:cs="Times New Roman"/>
          <w:color w:val="auto"/>
          <w:szCs w:val="24"/>
        </w:rPr>
        <w:t xml:space="preserve"> </w:t>
      </w:r>
      <w:r w:rsidR="001C5F90">
        <w:rPr>
          <w:rFonts w:ascii="Times New Roman" w:hAnsi="Times New Roman" w:cs="Times New Roman"/>
          <w:color w:val="auto"/>
          <w:szCs w:val="24"/>
        </w:rPr>
        <w:t>и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оказалась в определенном плане более совершенной по сравнению с предыдущими оценками. Она включала большее число стран и параметров, и в ней использовалось единое глобальное определение лесов. В среднем год национальной инвентаризации, по которому была представлена информация, был ближе к году представления глобальной отчетности, чем в предыдущих оценках. В рамках оценки было оказано больше помощи созданию потенциала в странах, чем в прошлом; и широко использовались новые технологии, такие как дистанционное зондирование. Поэтому результаты оценки оказались намного более надежными, хотя все еще оставалось много информационных пробелов.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ходе независимого дистанционного исследования для целей ОЛР</w:t>
      </w:r>
      <w:r w:rsidR="00DC4360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>2000 были использованы те же 117 единиц выборки, что и для ОЛР-1990, и были добавлены последние космические снимки</w:t>
      </w:r>
      <w:r w:rsidR="00DC4360">
        <w:rPr>
          <w:rFonts w:ascii="Times New Roman" w:hAnsi="Times New Roman" w:cs="Times New Roman"/>
          <w:color w:val="auto"/>
          <w:szCs w:val="24"/>
        </w:rPr>
        <w:t xml:space="preserve"> со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спутника </w:t>
      </w:r>
      <w:r w:rsidR="00DC4360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Ландсат</w:t>
      </w:r>
      <w:r w:rsidR="00DC4360">
        <w:rPr>
          <w:rFonts w:ascii="Times New Roman" w:hAnsi="Times New Roman" w:cs="Times New Roman"/>
          <w:color w:val="auto"/>
          <w:szCs w:val="24"/>
        </w:rPr>
        <w:t>»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, что позволило произвести статистические данные об изменении лесов и другого растительного покрова в период с 1980 по 2000 г.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Разработанная в итоге матрица изменений наглядно показывала и представляла количественно изменения лесов и растительного покрова с течением времени. В результате исследования были выявлены различные тенденции в регионах тропиков, которые, возможно, отражали общий характер и политику землепользования.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Латинской Америке преобладала широкомасштабная прямая перестройка структуры лесной площади под другие виды использования. Она была также преобладающей в странах Африки, но в меньшем масштабе. В Азии площадь постепенного преобразования лесов для других видов использования (интенсификация подсечно-переложного земледелия) равнялась площади лесов, непосредственно преобразуемых для использования в других целях. На глобальном уровне преобладающей являлась прямая перестройка структуры лесной площади, на долю которой приходилось примерно три четверти всех преобразованных лесных площадей. Таким образом, большая часть обезлесения в районах тропиков была результатом стремительной, плановой или широкомасштабной перестройки структуры лесной площади под другие виды использования, главным образом под сельское хозяйство.</w:t>
      </w:r>
    </w:p>
    <w:p w:rsidR="00044CFC" w:rsidRPr="00B11C13" w:rsidRDefault="00B636A7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Глобальная инвентаризация лесов </w:t>
      </w:r>
      <w:r>
        <w:rPr>
          <w:rFonts w:ascii="Times New Roman" w:hAnsi="Times New Roman" w:cs="Times New Roman"/>
          <w:color w:val="auto"/>
          <w:szCs w:val="24"/>
        </w:rPr>
        <w:t xml:space="preserve">в </w:t>
      </w:r>
      <w:r w:rsidRPr="00B11C13">
        <w:rPr>
          <w:rFonts w:ascii="Times New Roman" w:hAnsi="Times New Roman" w:cs="Times New Roman"/>
          <w:color w:val="auto"/>
          <w:szCs w:val="24"/>
        </w:rPr>
        <w:t>200</w:t>
      </w:r>
      <w:r>
        <w:rPr>
          <w:rFonts w:ascii="Times New Roman" w:hAnsi="Times New Roman" w:cs="Times New Roman"/>
          <w:color w:val="auto"/>
          <w:szCs w:val="24"/>
        </w:rPr>
        <w:t>5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г.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была посвящена концепции устойчивого лесопользования, включающей социальные, экономические и экологические аспекты использования лесов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sym w:font="Symbol" w:char="F05B"/>
      </w:r>
      <w:r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/>
          <w:color w:val="auto"/>
          <w:szCs w:val="24"/>
        </w:rPr>
        <w:sym w:font="Symbol" w:char="F05D"/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.  Кроме того, процесс проведения ОЛР-2005 вовлекал в себя страны в гораздо большей степени, чем предыдущие оценки, что обусловило более широкий отклик и контроль за качеством информации на национальном уровне. При осуществлении ОЛР-2000 прилагались усилия к повышению прозрачности и доступности исходной информации. Много рабочих документов было опубликовано для распространения подробной информации по ключевым странам и темам. На веб-сайте ФАО были опубликованы статданные вместе с их структурным анализом и допущениями. Странам было официально предложено подтвердить свои основные статданные перед их публикацией.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 ходе последующей деятельности в номере журнала ФАО по лесам </w:t>
      </w:r>
      <w:r w:rsidR="00B636A7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Unasylva</w:t>
      </w:r>
      <w:r w:rsidR="00B636A7">
        <w:rPr>
          <w:rFonts w:ascii="Times New Roman" w:hAnsi="Times New Roman" w:cs="Times New Roman"/>
          <w:color w:val="auto"/>
          <w:szCs w:val="24"/>
        </w:rPr>
        <w:t>»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(№ 208</w:t>
      </w:r>
      <w:r w:rsidR="00B636A7">
        <w:rPr>
          <w:rFonts w:ascii="Times New Roman" w:hAnsi="Times New Roman" w:cs="Times New Roman"/>
          <w:color w:val="auto"/>
          <w:szCs w:val="24"/>
        </w:rPr>
        <w:t>,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2002 г.) была опубликована информация об издании ФАО окончательных результатов Глобальной инвентаризации лесов в 2000 г. В этом документе ФАО (</w:t>
      </w:r>
      <w:r w:rsidRPr="00B11C13">
        <w:rPr>
          <w:rFonts w:ascii="Times New Roman" w:hAnsi="Times New Roman" w:cs="Times New Roman"/>
          <w:color w:val="auto"/>
          <w:szCs w:val="24"/>
          <w:lang w:val="en-US"/>
        </w:rPr>
        <w:t>Forestry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  <w:lang w:val="en-US"/>
        </w:rPr>
        <w:t>Paper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№ 140) кроме всего прочего содержится обзор процессов оценки лесных ресурсов на глобальном и национальном уровнях.</w:t>
      </w:r>
    </w:p>
    <w:p w:rsidR="00044CFC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проведении ОЛР-2005 участвовало более 800 человек по всему миру, включая национальных корреспондентов и их команды, консультативную группу, международных экспертов, сотрудников ФАО и ЕЭК ООН, консультантов и добровольцев из разных стран мира. Была собрана и проанализирована информация по 229 странам и территориям за три отчетных периода: 1990, 2000 и 2005 гг.</w:t>
      </w:r>
      <w:r w:rsidR="00B636A7">
        <w:rPr>
          <w:rFonts w:ascii="Times New Roman" w:hAnsi="Times New Roman" w:cs="Times New Roman"/>
          <w:color w:val="auto"/>
          <w:szCs w:val="24"/>
        </w:rPr>
        <w:t xml:space="preserve"> Р</w:t>
      </w:r>
      <w:r w:rsidRPr="00B11C13">
        <w:rPr>
          <w:rFonts w:ascii="Times New Roman" w:hAnsi="Times New Roman" w:cs="Times New Roman"/>
          <w:color w:val="auto"/>
          <w:szCs w:val="24"/>
        </w:rPr>
        <w:t>абота проходила в тесном сотрудничестве со странами и специалистами разных стран посредством регулярных контактов, консультаций с экспертами, подготовки национальных корреспондентов и проведения десяти региональных и субрегиональных семинаров. Этот процесс представлял собой глобальное партнерство, результатом которого стало повышение уровня знаний о лесных ресурсах и лесном хозяйстве планеты, более прозрачная система отчетности и расширение возможностей для представления и анализа данных. В рамках ОЛР-2005 изучалось текущее положение и последние тенденции по более чем 40 параметрам, охватывающим объем, состояние, виды использования и ценность лесов и других участков земли, покрытых лесной растительностью с целью оценить преимущества, которые дает человеку использование лесных ресурсов. Результаты исследования были представлены в соответствии с шестью темами, рассматривающими важные элементы устойчивого управления лесами: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о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бъем лесных ресурсов;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б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иологическое разнообразие;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з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доровье и жизнеспособность лесов;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п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родуктивные функции лесных ресурсов;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з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ащитные функции лесных ресурсов;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с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оциально-экономические функции</w:t>
      </w:r>
      <w:r>
        <w:rPr>
          <w:rFonts w:ascii="Times New Roman" w:hAnsi="Times New Roman" w:cs="Times New Roman"/>
          <w:color w:val="auto"/>
          <w:szCs w:val="24"/>
        </w:rPr>
        <w:t>;</w:t>
      </w:r>
    </w:p>
    <w:p w:rsidR="00044CFC" w:rsidRPr="00B11C13" w:rsidRDefault="004E4D36" w:rsidP="004E4D36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о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сновные сведения касательно лесной площади и изменений лесной площади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Установленная в 2005 г. глобальная площадь лесов составила немногим более 3,95 млрд га, из которых 36% приходилось на долю девственных лесов, а 53% на долю естественных лесов, и 7% на долю полуестественных лесов, 3% на долю лесопосадок и 0,8% на долю защитных лесных насаждений.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Установленное чистое уменьшение площади лесов (глобальное) с 1990 по 2000 г</w:t>
      </w:r>
      <w:r w:rsidR="004E4D36">
        <w:rPr>
          <w:rFonts w:ascii="Times New Roman" w:hAnsi="Times New Roman" w:cs="Times New Roman"/>
          <w:color w:val="auto"/>
          <w:szCs w:val="24"/>
        </w:rPr>
        <w:t>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составляло 8,9 млн га</w:t>
      </w:r>
      <w:r w:rsidR="004E4D36">
        <w:rPr>
          <w:rFonts w:ascii="Times New Roman" w:hAnsi="Times New Roman" w:cs="Times New Roman"/>
          <w:color w:val="auto"/>
          <w:szCs w:val="24"/>
        </w:rPr>
        <w:t>/</w:t>
      </w:r>
      <w:r w:rsidRPr="00B11C13">
        <w:rPr>
          <w:rFonts w:ascii="Times New Roman" w:hAnsi="Times New Roman" w:cs="Times New Roman"/>
          <w:color w:val="auto"/>
          <w:szCs w:val="24"/>
        </w:rPr>
        <w:t>год</w:t>
      </w:r>
      <w:r w:rsidR="004E4D36">
        <w:rPr>
          <w:rFonts w:ascii="Times New Roman" w:hAnsi="Times New Roman" w:cs="Times New Roman"/>
          <w:color w:val="auto"/>
          <w:szCs w:val="24"/>
        </w:rPr>
        <w:t>,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4E4D36">
        <w:rPr>
          <w:rFonts w:ascii="Times New Roman" w:hAnsi="Times New Roman" w:cs="Times New Roman"/>
          <w:color w:val="auto"/>
          <w:szCs w:val="24"/>
        </w:rPr>
        <w:t>чи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стое уменьшение площади лесов (глобальное) с 2000 по 2005 </w:t>
      </w:r>
      <w:r w:rsidR="004E4D36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г. </w:t>
      </w:r>
      <w:r w:rsidR="004E4D36">
        <w:rPr>
          <w:rFonts w:ascii="Times New Roman" w:hAnsi="Times New Roman" w:cs="Times New Roman"/>
          <w:color w:val="auto"/>
          <w:szCs w:val="24"/>
        </w:rPr>
        <w:t xml:space="preserve">– </w:t>
      </w:r>
      <w:r w:rsidRPr="00B11C13">
        <w:rPr>
          <w:rFonts w:ascii="Times New Roman" w:hAnsi="Times New Roman" w:cs="Times New Roman"/>
          <w:color w:val="auto"/>
          <w:szCs w:val="24"/>
        </w:rPr>
        <w:t>7,3 млн га</w:t>
      </w:r>
      <w:r w:rsidR="004E4D36">
        <w:rPr>
          <w:rFonts w:ascii="Times New Roman" w:hAnsi="Times New Roman" w:cs="Times New Roman"/>
          <w:color w:val="auto"/>
          <w:szCs w:val="24"/>
        </w:rPr>
        <w:t>/</w:t>
      </w:r>
      <w:r w:rsidRPr="00B11C13">
        <w:rPr>
          <w:rFonts w:ascii="Times New Roman" w:hAnsi="Times New Roman" w:cs="Times New Roman"/>
          <w:color w:val="auto"/>
          <w:szCs w:val="24"/>
        </w:rPr>
        <w:t>год. Глобальное увеличение площади лесов благодаря посадке новых лесов и процессам естественного лесовозобновления составляло в среднем 4,1 млн га</w:t>
      </w:r>
      <w:r w:rsidR="004E4D36">
        <w:rPr>
          <w:rFonts w:ascii="Times New Roman" w:hAnsi="Times New Roman" w:cs="Times New Roman"/>
          <w:color w:val="auto"/>
          <w:szCs w:val="24"/>
        </w:rPr>
        <w:t>/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год в период с 1990 по 2000 </w:t>
      </w:r>
      <w:r w:rsidR="004E4D36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>г. и 5,7 млн га 2000</w:t>
      </w:r>
      <w:r w:rsidR="004E4D36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2005 </w:t>
      </w:r>
      <w:r w:rsidR="004E4D36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>г. В итоге, за 1990-2005 гг. потеря</w:t>
      </w:r>
      <w:r w:rsidR="00BC3BC3">
        <w:rPr>
          <w:rFonts w:ascii="Times New Roman" w:hAnsi="Times New Roman" w:cs="Times New Roman"/>
          <w:color w:val="auto"/>
          <w:szCs w:val="24"/>
        </w:rPr>
        <w:t>но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около 13 млн га лесов.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 </w:t>
      </w:r>
      <w:r w:rsidRPr="00BC3BC3">
        <w:rPr>
          <w:rFonts w:ascii="Times New Roman" w:hAnsi="Times New Roman" w:cs="Times New Roman"/>
          <w:i/>
          <w:color w:val="auto"/>
          <w:szCs w:val="24"/>
        </w:rPr>
        <w:t>табл. 1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приведены данные глобальной инвентаризации лесов по их распределению по различным биомам и континентам.</w:t>
      </w:r>
    </w:p>
    <w:p w:rsidR="00BC3BC3" w:rsidRPr="00BC3BC3" w:rsidRDefault="00044CFC" w:rsidP="00BC3BC3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2"/>
        </w:rPr>
      </w:pPr>
      <w:r w:rsidRPr="00BC3BC3">
        <w:rPr>
          <w:rFonts w:ascii="Times New Roman" w:hAnsi="Times New Roman" w:cs="Times New Roman"/>
          <w:bCs/>
          <w:color w:val="auto"/>
          <w:sz w:val="22"/>
        </w:rPr>
        <w:t>Таблица 1</w:t>
      </w:r>
    </w:p>
    <w:p w:rsidR="00044CFC" w:rsidRPr="00BC3BC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</w:rPr>
      </w:pPr>
      <w:r w:rsidRPr="00BC3BC3">
        <w:rPr>
          <w:rFonts w:ascii="Times New Roman" w:hAnsi="Times New Roman" w:cs="Times New Roman"/>
          <w:b/>
          <w:bCs/>
          <w:color w:val="auto"/>
          <w:sz w:val="22"/>
        </w:rPr>
        <w:t>Площадь лесов в различных биомах на различных континентах</w:t>
      </w:r>
      <w:r w:rsidR="00161374" w:rsidRPr="00BC3BC3">
        <w:rPr>
          <w:rFonts w:ascii="Times New Roman" w:hAnsi="Times New Roman" w:cs="Times New Roman"/>
          <w:b/>
          <w:color w:val="auto"/>
          <w:sz w:val="22"/>
        </w:rPr>
        <w:t xml:space="preserve"> Земли</w:t>
      </w:r>
      <w:r w:rsidRPr="00BC3BC3">
        <w:rPr>
          <w:rFonts w:ascii="Times New Roman" w:hAnsi="Times New Roman" w:cs="Times New Roman"/>
          <w:b/>
          <w:bCs/>
          <w:color w:val="auto"/>
          <w:sz w:val="22"/>
        </w:rPr>
        <w:t xml:space="preserve">, </w:t>
      </w:r>
      <w:r w:rsidRPr="00BC3BC3">
        <w:rPr>
          <w:rFonts w:ascii="Times New Roman" w:hAnsi="Times New Roman" w:cs="Times New Roman"/>
          <w:bCs/>
          <w:color w:val="auto"/>
          <w:sz w:val="22"/>
        </w:rPr>
        <w:t>млн га</w:t>
      </w:r>
      <w:r w:rsidR="00161374" w:rsidRPr="00BC3BC3">
        <w:rPr>
          <w:rFonts w:ascii="Times New Roman" w:hAnsi="Times New Roman" w:cs="Times New Roman"/>
          <w:color w:val="auto"/>
          <w:sz w:val="22"/>
        </w:rPr>
        <w:t xml:space="preserve"> </w:t>
      </w:r>
      <w:r w:rsidR="00BC3BC3" w:rsidRPr="00BC3BC3">
        <w:rPr>
          <w:rFonts w:ascii="Times New Roman" w:hAnsi="Times New Roman" w:cs="Times New Roman"/>
          <w:color w:val="auto"/>
          <w:sz w:val="22"/>
        </w:rPr>
        <w:sym w:font="Symbol" w:char="F05B"/>
      </w:r>
      <w:r w:rsidR="00BC3BC3" w:rsidRPr="00BC3BC3">
        <w:rPr>
          <w:rFonts w:ascii="Times New Roman" w:hAnsi="Times New Roman" w:cs="Times New Roman"/>
          <w:color w:val="auto"/>
          <w:sz w:val="22"/>
        </w:rPr>
        <w:t>2</w:t>
      </w:r>
      <w:r w:rsidR="00BC3BC3" w:rsidRPr="00BC3BC3">
        <w:rPr>
          <w:rFonts w:ascii="Times New Roman" w:hAnsi="Times New Roman" w:cs="Times New Roman"/>
          <w:color w:val="auto"/>
          <w:sz w:val="22"/>
        </w:rPr>
        <w:sym w:font="Symbol" w:char="F05D"/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992"/>
        <w:gridCol w:w="709"/>
        <w:gridCol w:w="851"/>
        <w:gridCol w:w="1842"/>
        <w:gridCol w:w="993"/>
        <w:gridCol w:w="992"/>
        <w:gridCol w:w="850"/>
      </w:tblGrid>
      <w:tr w:rsidR="00044CFC" w:rsidRPr="00BC3BC3" w:rsidTr="00FA6166">
        <w:trPr>
          <w:trHeight w:val="436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C452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Биом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Африка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Азия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Европа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Северная и Южная Америки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Океания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Южная Америка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Всего</w:t>
            </w:r>
          </w:p>
        </w:tc>
      </w:tr>
      <w:tr w:rsidR="00044CFC" w:rsidRPr="00BC3BC3" w:rsidTr="00FA6166">
        <w:trPr>
          <w:trHeight w:hRule="exact" w:val="308"/>
          <w:jc w:val="center"/>
        </w:trPr>
        <w:tc>
          <w:tcPr>
            <w:tcW w:w="8789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Сомкнутые леса</w:t>
            </w:r>
          </w:p>
        </w:tc>
      </w:tr>
      <w:tr w:rsidR="00044CFC" w:rsidRPr="00BC3BC3" w:rsidTr="00FA6166">
        <w:trPr>
          <w:trHeight w:hRule="exact" w:val="366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Полярные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044CFC" w:rsidRPr="00BC3BC3" w:rsidTr="00FA6166">
        <w:trPr>
          <w:trHeight w:hRule="exact" w:val="285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Бореальные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495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945</w:t>
            </w:r>
          </w:p>
        </w:tc>
      </w:tr>
      <w:tr w:rsidR="00044CFC" w:rsidRPr="00BC3BC3" w:rsidTr="00FA6166">
        <w:trPr>
          <w:trHeight w:hRule="exact" w:val="275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Умеренные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471</w:t>
            </w:r>
          </w:p>
        </w:tc>
      </w:tr>
      <w:tr w:rsidR="00044CFC" w:rsidRPr="00BC3BC3" w:rsidTr="00FA6166">
        <w:trPr>
          <w:trHeight w:hRule="exact" w:val="293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Субтропические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044CFC" w:rsidRPr="00BC3BC3" w:rsidTr="00FA6166">
        <w:trPr>
          <w:trHeight w:hRule="exact" w:val="268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Тропические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77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</w:t>
            </w:r>
          </w:p>
        </w:tc>
      </w:tr>
      <w:tr w:rsidR="00044CFC" w:rsidRPr="00BC3BC3" w:rsidTr="00FA6166">
        <w:trPr>
          <w:trHeight w:hRule="exact" w:val="28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277</w:t>
            </w:r>
          </w:p>
        </w:tc>
        <w:tc>
          <w:tcPr>
            <w:tcW w:w="709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282</w:t>
            </w:r>
          </w:p>
        </w:tc>
        <w:tc>
          <w:tcPr>
            <w:tcW w:w="184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696</w:t>
            </w:r>
          </w:p>
        </w:tc>
        <w:tc>
          <w:tcPr>
            <w:tcW w:w="993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85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2862</w:t>
            </w:r>
          </w:p>
        </w:tc>
      </w:tr>
      <w:tr w:rsidR="00044CFC" w:rsidRPr="00BC3BC3" w:rsidTr="00FA6166">
        <w:trPr>
          <w:trHeight w:hRule="exact" w:val="305"/>
          <w:jc w:val="center"/>
        </w:trPr>
        <w:tc>
          <w:tcPr>
            <w:tcW w:w="8789" w:type="dxa"/>
            <w:gridSpan w:val="8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Открытые и фрагментированные леса</w:t>
            </w:r>
          </w:p>
        </w:tc>
      </w:tr>
      <w:tr w:rsidR="00044CFC" w:rsidRPr="00BC3BC3" w:rsidTr="00FA6166">
        <w:trPr>
          <w:trHeight w:hRule="exact" w:val="26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Полярные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44CFC" w:rsidRPr="00BC3BC3" w:rsidTr="00FA6166">
        <w:trPr>
          <w:trHeight w:hRule="exact" w:val="27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Бореальные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</w:t>
            </w:r>
          </w:p>
        </w:tc>
      </w:tr>
      <w:tr w:rsidR="00044CFC" w:rsidRPr="00BC3BC3" w:rsidTr="00FA6166">
        <w:trPr>
          <w:trHeight w:hRule="exact" w:val="289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Умеренные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</w:tr>
      <w:tr w:rsidR="00044CFC" w:rsidRPr="00BC3BC3" w:rsidTr="00FA6166">
        <w:trPr>
          <w:trHeight w:hRule="exact" w:val="292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Субтропические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</w:tr>
      <w:tr w:rsidR="00044CFC" w:rsidRPr="00BC3BC3" w:rsidTr="00FA6166">
        <w:trPr>
          <w:trHeight w:hRule="exact" w:val="283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Тропические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</w:t>
            </w:r>
          </w:p>
        </w:tc>
      </w:tr>
      <w:tr w:rsidR="00044CFC" w:rsidRPr="00BC3BC3" w:rsidTr="00FA6166">
        <w:trPr>
          <w:trHeight w:hRule="exact" w:val="28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1494</w:t>
            </w:r>
          </w:p>
        </w:tc>
      </w:tr>
      <w:tr w:rsidR="00044CFC" w:rsidRPr="00BC3BC3" w:rsidTr="00FA6166">
        <w:trPr>
          <w:gridAfter w:val="7"/>
          <w:wAfter w:w="7229" w:type="dxa"/>
          <w:trHeight w:hRule="exact" w:val="27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044CFC" w:rsidRPr="00BC3BC3" w:rsidRDefault="00044CFC" w:rsidP="00BC3BC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Всего лесов</w:t>
            </w:r>
          </w:p>
        </w:tc>
      </w:tr>
      <w:tr w:rsidR="00044CFC" w:rsidRPr="00BC3BC3" w:rsidTr="00FA6166">
        <w:trPr>
          <w:trHeight w:hRule="exact" w:val="280"/>
          <w:jc w:val="center"/>
        </w:trPr>
        <w:tc>
          <w:tcPr>
            <w:tcW w:w="156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Полярных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</w:tr>
      <w:tr w:rsidR="00044CFC" w:rsidRPr="00BC3BC3" w:rsidTr="00FA6166">
        <w:trPr>
          <w:trHeight w:hRule="exact" w:val="285"/>
          <w:jc w:val="center"/>
        </w:trPr>
        <w:tc>
          <w:tcPr>
            <w:tcW w:w="156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Бореальных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1258</w:t>
            </w:r>
          </w:p>
        </w:tc>
      </w:tr>
      <w:tr w:rsidR="00044CFC" w:rsidRPr="00BC3BC3" w:rsidTr="00FA6166">
        <w:trPr>
          <w:trHeight w:hRule="exact" w:val="289"/>
          <w:jc w:val="center"/>
        </w:trPr>
        <w:tc>
          <w:tcPr>
            <w:tcW w:w="156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Умеренных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697</w:t>
            </w:r>
          </w:p>
        </w:tc>
      </w:tr>
      <w:tr w:rsidR="00044CFC" w:rsidRPr="00BC3BC3" w:rsidTr="00FA6166">
        <w:trPr>
          <w:trHeight w:hRule="exact" w:val="279"/>
          <w:jc w:val="center"/>
        </w:trPr>
        <w:tc>
          <w:tcPr>
            <w:tcW w:w="156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Субтропических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</w:t>
            </w:r>
          </w:p>
        </w:tc>
      </w:tr>
      <w:tr w:rsidR="00044CFC" w:rsidRPr="00BC3BC3" w:rsidTr="00FA6166">
        <w:trPr>
          <w:trHeight w:hRule="exact" w:val="297"/>
          <w:jc w:val="center"/>
        </w:trPr>
        <w:tc>
          <w:tcPr>
            <w:tcW w:w="1560" w:type="dxa"/>
            <w:shd w:val="clear" w:color="auto" w:fill="FFFFFF"/>
          </w:tcPr>
          <w:p w:rsidR="00044CFC" w:rsidRPr="00BC3BC3" w:rsidRDefault="00044CFC" w:rsidP="00BC3B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Тропических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</w:t>
            </w:r>
          </w:p>
        </w:tc>
      </w:tr>
      <w:tr w:rsidR="00044CFC" w:rsidRPr="00BC3BC3" w:rsidTr="00FA6166">
        <w:trPr>
          <w:trHeight w:hRule="exact" w:val="273"/>
          <w:jc w:val="center"/>
        </w:trPr>
        <w:tc>
          <w:tcPr>
            <w:tcW w:w="1560" w:type="dxa"/>
            <w:shd w:val="clear" w:color="auto" w:fill="FFFFFF"/>
          </w:tcPr>
          <w:p w:rsidR="00044CFC" w:rsidRPr="00FA6166" w:rsidRDefault="00044CFC" w:rsidP="00BC3BC3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616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Общий итог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1,323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4CFC" w:rsidRPr="00BC3BC3" w:rsidRDefault="00044CFC" w:rsidP="00FA616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B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4356</w:t>
            </w:r>
          </w:p>
        </w:tc>
      </w:tr>
    </w:tbl>
    <w:p w:rsidR="00FA6166" w:rsidRDefault="00FA6166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соответствии с рекомендациями совещаний ФАО по вопросам инвентаризации лесов, ФАО предложила странам официально назначить национальных корреспондентов по ОЛР</w:t>
      </w:r>
      <w:r w:rsidR="00FA6166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>2010. В марте 2008 г. в Риме была проведена учебная сессия, в которой приняли участие 265 специалистов по оценке состояния лесов, в том числе представители из 154 стран и 14 ведущих организаций, занимающихся лесной тематикой, и в ходе которой были представлены на пяти языках подробные указания, стандарты и формы отчетности. Всего было проведено десять региональных и субрегиональных семинаров по рассмотрению проектов докладов, обмену опытом и обсуждению конкретных вопросов.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Помимо основного доклада ФАО по ОЛР-2010 </w:t>
      </w:r>
      <w:r w:rsidR="00FA6166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FA6166">
        <w:rPr>
          <w:rFonts w:ascii="Times New Roman" w:hAnsi="Times New Roman" w:cs="Times New Roman"/>
          <w:color w:val="auto"/>
          <w:szCs w:val="24"/>
        </w:rPr>
        <w:t>8</w:t>
      </w:r>
      <w:r w:rsidR="00FA6166">
        <w:rPr>
          <w:rFonts w:ascii="Times New Roman" w:hAnsi="Times New Roman" w:cs="Times New Roman"/>
          <w:color w:val="auto"/>
          <w:szCs w:val="24"/>
        </w:rPr>
        <w:sym w:font="Symbol" w:char="F05D"/>
      </w:r>
      <w:r w:rsidR="00FA6166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остальные важнейшие результаты включают в себя: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1) </w:t>
      </w:r>
      <w:r w:rsidR="00FA6166">
        <w:rPr>
          <w:rFonts w:ascii="Times New Roman" w:hAnsi="Times New Roman" w:cs="Times New Roman"/>
          <w:color w:val="auto"/>
          <w:szCs w:val="24"/>
        </w:rPr>
        <w:t>д</w:t>
      </w:r>
      <w:r w:rsidRPr="00B11C13">
        <w:rPr>
          <w:rFonts w:ascii="Times New Roman" w:hAnsi="Times New Roman" w:cs="Times New Roman"/>
          <w:color w:val="auto"/>
          <w:szCs w:val="24"/>
        </w:rPr>
        <w:t>оклады по странам</w:t>
      </w:r>
      <w:r w:rsidR="00FA6166">
        <w:rPr>
          <w:rFonts w:ascii="Times New Roman" w:hAnsi="Times New Roman" w:cs="Times New Roman"/>
          <w:color w:val="auto"/>
          <w:szCs w:val="24"/>
        </w:rPr>
        <w:t xml:space="preserve"> в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сего от стран и территорий было представлено 233 подробных доклада с указанием источников информации и исходных данных, а также описаний методик, использованных для оценки, прогнозирования и реклассификации, включая любые исходные посылки;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2</w:t>
      </w:r>
      <w:r w:rsidR="00FA6166">
        <w:rPr>
          <w:rFonts w:ascii="Times New Roman" w:hAnsi="Times New Roman" w:cs="Times New Roman"/>
          <w:color w:val="auto"/>
          <w:szCs w:val="24"/>
        </w:rPr>
        <w:t>)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FA6166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лобальные таблицы </w:t>
      </w:r>
      <w:r w:rsidR="00FA6166">
        <w:rPr>
          <w:rFonts w:ascii="Times New Roman" w:hAnsi="Times New Roman" w:cs="Times New Roman"/>
          <w:color w:val="auto"/>
          <w:szCs w:val="24"/>
        </w:rPr>
        <w:t>н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а основе информации, представленной странами, была составлена подборка из 40 таблиц;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3) </w:t>
      </w:r>
      <w:r w:rsidR="00FA6166">
        <w:rPr>
          <w:rFonts w:ascii="Times New Roman" w:hAnsi="Times New Roman" w:cs="Times New Roman"/>
          <w:color w:val="auto"/>
          <w:szCs w:val="24"/>
        </w:rPr>
        <w:t>о</w:t>
      </w:r>
      <w:r w:rsidRPr="00B11C13">
        <w:rPr>
          <w:rFonts w:ascii="Times New Roman" w:hAnsi="Times New Roman" w:cs="Times New Roman"/>
          <w:color w:val="auto"/>
          <w:szCs w:val="24"/>
        </w:rPr>
        <w:t>сновные выводы ОЛР-2010 были опубликованы в марте 2010 г.</w:t>
      </w:r>
      <w:r w:rsidR="00FA6166">
        <w:rPr>
          <w:rFonts w:ascii="Times New Roman" w:hAnsi="Times New Roman" w:cs="Times New Roman"/>
          <w:color w:val="auto"/>
          <w:szCs w:val="24"/>
        </w:rPr>
        <w:t xml:space="preserve"> </w:t>
      </w:r>
      <w:r w:rsidR="00FA6166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FA6166">
        <w:rPr>
          <w:rFonts w:ascii="Times New Roman" w:hAnsi="Times New Roman" w:cs="Times New Roman"/>
          <w:color w:val="auto"/>
          <w:szCs w:val="24"/>
        </w:rPr>
        <w:t>9</w:t>
      </w:r>
      <w:r w:rsidR="00FA6166">
        <w:rPr>
          <w:rFonts w:ascii="Times New Roman" w:hAnsi="Times New Roman" w:cs="Times New Roman"/>
          <w:color w:val="auto"/>
          <w:szCs w:val="24"/>
        </w:rPr>
        <w:sym w:font="Symbol" w:char="F05D"/>
      </w:r>
      <w:r w:rsidR="00FA6166">
        <w:rPr>
          <w:rFonts w:ascii="Times New Roman" w:hAnsi="Times New Roman" w:cs="Times New Roman"/>
          <w:color w:val="auto"/>
          <w:szCs w:val="24"/>
        </w:rPr>
        <w:t>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Существенной частью сбора материалов для ОЛР-2010 было глобальное обследование лесов методами дистанционного зондирования Земли (ДЗЗ). Вместе с основными организациями-партнерами и при участии специалистов по ДЗЗ, работающих почти в 150 странах, в рамках ОЛР-2010, проведенное глобальное обследование лесов методом ДЗЗ, предоставило дополнительную и весьма подробную информацию об обезлесении, облесении и естественном возобновлении лесов на региональном и биомном уровнях за период 1990-2005 гг.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 ОЛР-2010 были включены новые переменные параметры, позволяющие оценить путь, проделанный к достижению целевого показателя в области биоразнообразия на 2010 г., предусмотренного Конвенцией </w:t>
      </w:r>
      <w:r w:rsidR="00FA6166">
        <w:rPr>
          <w:rFonts w:ascii="Times New Roman" w:hAnsi="Times New Roman" w:cs="Times New Roman"/>
          <w:color w:val="auto"/>
          <w:szCs w:val="24"/>
        </w:rPr>
        <w:t xml:space="preserve">ООН </w:t>
      </w:r>
      <w:r w:rsidRPr="00B11C13">
        <w:rPr>
          <w:rFonts w:ascii="Times New Roman" w:hAnsi="Times New Roman" w:cs="Times New Roman"/>
          <w:color w:val="auto"/>
          <w:szCs w:val="24"/>
        </w:rPr>
        <w:t>о биоразнообразии, выполнению четырех глобальных задач в области лесоводства, предусмотренных не имеющим обязательной юридической силы документом по всем видам лесов, принятым 62-й сессией Ген</w:t>
      </w:r>
      <w:r w:rsidR="00FA6166">
        <w:rPr>
          <w:rFonts w:ascii="Times New Roman" w:hAnsi="Times New Roman" w:cs="Times New Roman"/>
          <w:color w:val="auto"/>
          <w:szCs w:val="24"/>
        </w:rPr>
        <w:t>а</w:t>
      </w:r>
      <w:r w:rsidRPr="00B11C13">
        <w:rPr>
          <w:rFonts w:ascii="Times New Roman" w:hAnsi="Times New Roman" w:cs="Times New Roman"/>
          <w:color w:val="auto"/>
          <w:szCs w:val="24"/>
        </w:rPr>
        <w:t>ссамблеи О</w:t>
      </w:r>
      <w:r w:rsidR="00FA6166">
        <w:rPr>
          <w:rFonts w:ascii="Times New Roman" w:hAnsi="Times New Roman" w:cs="Times New Roman"/>
          <w:color w:val="auto"/>
          <w:szCs w:val="24"/>
        </w:rPr>
        <w:t>ОН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. Впервые ОЛР-2010 включала также правовые, политические и организационные механизмы, определяющие работу с лесами, а также управление ими и их использование, и в силу этого она охватывает все семь тем устойчивого лесопользования.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 результате ОЛР-2010 отражает текущее положение и последние тенденции с учетом более, чем 90 переменных параметров и всех типов лесов, применительно к регионам и субрегионам мира.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отчёте по ОЛР</w:t>
      </w:r>
      <w:r w:rsidR="00C12AD9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>2010 есть одна единственная таблица (</w:t>
      </w:r>
      <w:r w:rsidRPr="00C12AD9">
        <w:rPr>
          <w:rFonts w:ascii="Times New Roman" w:hAnsi="Times New Roman" w:cs="Times New Roman"/>
          <w:i/>
          <w:color w:val="auto"/>
          <w:szCs w:val="24"/>
        </w:rPr>
        <w:t>табл</w:t>
      </w:r>
      <w:r w:rsidR="00C12AD9" w:rsidRPr="00C12AD9">
        <w:rPr>
          <w:rFonts w:ascii="Times New Roman" w:hAnsi="Times New Roman" w:cs="Times New Roman"/>
          <w:i/>
          <w:color w:val="auto"/>
          <w:szCs w:val="24"/>
        </w:rPr>
        <w:t>.</w:t>
      </w:r>
      <w:r w:rsidRPr="00C12AD9">
        <w:rPr>
          <w:rFonts w:ascii="Times New Roman" w:hAnsi="Times New Roman" w:cs="Times New Roman"/>
          <w:i/>
          <w:color w:val="auto"/>
          <w:szCs w:val="24"/>
        </w:rPr>
        <w:t xml:space="preserve"> 2</w:t>
      </w:r>
      <w:r w:rsidRPr="00B11C13">
        <w:rPr>
          <w:rFonts w:ascii="Times New Roman" w:hAnsi="Times New Roman" w:cs="Times New Roman"/>
          <w:color w:val="auto"/>
          <w:szCs w:val="24"/>
        </w:rPr>
        <w:t>), в которой приведены данные по Российской Федерации, наряду с данными по годичным изменениям площади лесов по регионам и субрегионам мира, полученных в результате инвентаризации лесов за период 1990-2010 гг. Во всех остальных случаях приводятся данные по Европе без включения в ее состав лесов России, что и указывается в таблицах.</w:t>
      </w:r>
    </w:p>
    <w:p w:rsidR="00C12AD9" w:rsidRPr="00C12AD9" w:rsidRDefault="00044CFC" w:rsidP="00C12AD9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2"/>
        </w:rPr>
      </w:pPr>
      <w:r w:rsidRPr="00C12AD9">
        <w:rPr>
          <w:rFonts w:ascii="Times New Roman" w:hAnsi="Times New Roman" w:cs="Times New Roman"/>
          <w:color w:val="auto"/>
          <w:sz w:val="22"/>
        </w:rPr>
        <w:t>Таблица 2</w:t>
      </w:r>
    </w:p>
    <w:p w:rsidR="00C12AD9" w:rsidRPr="00C12AD9" w:rsidRDefault="00044CFC" w:rsidP="00C12AD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12AD9">
        <w:rPr>
          <w:rFonts w:ascii="Times New Roman" w:hAnsi="Times New Roman" w:cs="Times New Roman"/>
          <w:b/>
          <w:color w:val="auto"/>
          <w:sz w:val="22"/>
        </w:rPr>
        <w:t>Годичные изменения площади лесов по регионам и субрегионам мира в 1990-2010 гг.</w:t>
      </w:r>
    </w:p>
    <w:tbl>
      <w:tblPr>
        <w:tblW w:w="0" w:type="auto"/>
        <w:jc w:val="center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88"/>
        <w:gridCol w:w="1258"/>
        <w:gridCol w:w="1069"/>
        <w:gridCol w:w="1237"/>
        <w:gridCol w:w="1060"/>
      </w:tblGrid>
      <w:tr w:rsidR="00044CFC" w:rsidRPr="0066182A" w:rsidTr="0066182A">
        <w:trPr>
          <w:jc w:val="center"/>
        </w:trPr>
        <w:tc>
          <w:tcPr>
            <w:tcW w:w="398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CFC" w:rsidRPr="0066182A" w:rsidRDefault="00044CFC" w:rsidP="00C452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Регион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субрегион</w:t>
            </w:r>
          </w:p>
        </w:tc>
        <w:tc>
          <w:tcPr>
            <w:tcW w:w="23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1990-2000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гг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2000-2010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гг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1000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га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%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1000 </w:t>
            </w: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га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%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  <w:tcBorders>
              <w:top w:val="single" w:sz="12" w:space="0" w:color="auto"/>
            </w:tcBorders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Восточная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Южная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Африка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-1 841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-0,62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-1 839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-0,</w:t>
            </w: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Северная Африка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-590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-0,72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-41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-0,05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Западная и Центральная Африка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-1 637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-0,46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-1 535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-0,46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Всего АФРИКА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-4 067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-0,56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-3 414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-0,49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Восточная Азия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1 762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0,81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2 781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1,16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Южная и Юго-Восточная Азия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-2 428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-0,77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-677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-0,23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Западная и Центральная Азия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0,17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1 31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0,31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Всего АЗИЯ</w:t>
            </w: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-595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-0,10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2 235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0,39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Российская Федерация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Европа без Российской Федерации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0,46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0,36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Всего ЕВРОПА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877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0,09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676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0,07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Карибский бассейн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0,87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0,75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Центральная Америка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-374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-1,56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-248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-1,19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Северная Америка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0,03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Северная и Центральная Америка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-289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-0,04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-10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-0,00</w:t>
            </w:r>
          </w:p>
        </w:tc>
      </w:tr>
      <w:tr w:rsidR="00044CFC" w:rsidRPr="0066182A" w:rsidTr="0066182A">
        <w:trPr>
          <w:trHeight w:val="220"/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Всего Океания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-41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-0,02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-700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-0,36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Всего Южная Америка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-4 213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-0,45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-3 997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-0,45</w:t>
            </w:r>
          </w:p>
        </w:tc>
      </w:tr>
      <w:tr w:rsidR="00044CFC" w:rsidRPr="0066182A" w:rsidTr="0066182A">
        <w:trPr>
          <w:jc w:val="center"/>
        </w:trPr>
        <w:tc>
          <w:tcPr>
            <w:tcW w:w="3988" w:type="dxa"/>
          </w:tcPr>
          <w:p w:rsidR="00044CFC" w:rsidRPr="0066182A" w:rsidRDefault="00044CFC" w:rsidP="0066182A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 весь мир</w:t>
            </w:r>
          </w:p>
        </w:tc>
        <w:tc>
          <w:tcPr>
            <w:tcW w:w="1258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-8 327</w:t>
            </w:r>
          </w:p>
        </w:tc>
        <w:tc>
          <w:tcPr>
            <w:tcW w:w="1069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-0,20</w:t>
            </w:r>
          </w:p>
        </w:tc>
        <w:tc>
          <w:tcPr>
            <w:tcW w:w="1237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-5 211</w:t>
            </w:r>
          </w:p>
        </w:tc>
        <w:tc>
          <w:tcPr>
            <w:tcW w:w="1060" w:type="dxa"/>
            <w:vAlign w:val="center"/>
          </w:tcPr>
          <w:p w:rsidR="00044CFC" w:rsidRPr="0066182A" w:rsidRDefault="00044CFC" w:rsidP="00661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18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-0,13</w:t>
            </w:r>
          </w:p>
        </w:tc>
      </w:tr>
    </w:tbl>
    <w:p w:rsidR="00044CFC" w:rsidRPr="002543BC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Помимо того, ФАО осуществляет ряд специальных исследований, дающих дополнительную информацию для глобальной инвентаризации лесов по отдельным вопросам: 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п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ричинам и темпам деградации лесов;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п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лощади проведения посадок лесов на землях, не имевших ранее лесного покрова;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о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ценкам роли лесов в качестве источников средств существования для нуждающихся слоев населения и для борьбы с нищетой;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и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зучению лесных генетических ресурсов;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и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зучению лесов и ведению лесного хозяйства на малых островах, которым грозит первоочередная угроза исчезновения в случае подъема уровня вод </w:t>
      </w:r>
      <w:r>
        <w:rPr>
          <w:rFonts w:ascii="Times New Roman" w:hAnsi="Times New Roman" w:cs="Times New Roman"/>
          <w:color w:val="auto"/>
          <w:szCs w:val="24"/>
        </w:rPr>
        <w:t>М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ирового океана.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ФАО определила, что цель </w:t>
      </w:r>
      <w:r w:rsidR="00161374" w:rsidRPr="00B11C13">
        <w:rPr>
          <w:rFonts w:ascii="Times New Roman" w:hAnsi="Times New Roman" w:cs="Times New Roman"/>
          <w:color w:val="auto"/>
          <w:szCs w:val="24"/>
        </w:rPr>
        <w:t>ГОЛР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заключается в предоставлении странам и их правительствам, а также все заинтересованным лицам и учреждениям ценной информации для формирования национальной лесной политики и принятия решений, влияющих на состояние лесов и лесного хозяйства.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Отзывы о недавней самооценке программы </w:t>
      </w:r>
      <w:r w:rsidR="00161374" w:rsidRPr="00B11C13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ОЛР ФАО показывают, что качество и своевременность информации по-прежнему является большой проблемой, так же, как и возрастающее бремя отчетности стран по </w:t>
      </w:r>
      <w:r w:rsidR="00161374" w:rsidRPr="00B11C13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>ОЛР.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Дальнейшее улучшение системы глобальной ОЛР, созданной ФАО, связано с повышением качества и уточнением количества предоставляемой странами информации, например, путем внедрения единообразных систем мониторинга и оценки национальных лесных ресурсов. Целесообразно повысить частоту обновления информации по ряду актуальных параметров (площадь лесов, запас леса на корню, запас углерода в лесах и т. д.). Это позволит более полно удовлетворять потребности международных организаций и переговорных механизмов в актуальной информации, путем периодического распространения свежих данных по мере их получения. Это целесообразно сочетать с расширением использования методов ДЗЗ для сбора и анализа данных на глобальном уровне, позволяющих облегчить бремя предоставления отчетности и анализ данных.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перечень информации, требующей практически ежегодного обновления, входит: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информация относительно темпов обезлесения и деградации национальных лесов</w:t>
      </w:r>
      <w:r>
        <w:rPr>
          <w:rFonts w:ascii="Times New Roman" w:hAnsi="Times New Roman" w:cs="Times New Roman"/>
          <w:color w:val="auto"/>
          <w:szCs w:val="24"/>
        </w:rPr>
        <w:t>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динамики запасов лесного углерода</w:t>
      </w:r>
      <w:r>
        <w:rPr>
          <w:rFonts w:ascii="Times New Roman" w:hAnsi="Times New Roman" w:cs="Times New Roman"/>
          <w:color w:val="auto"/>
          <w:szCs w:val="24"/>
        </w:rPr>
        <w:t>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динамика лесопосадок на землях, не имевших лесного покрова</w:t>
      </w:r>
      <w:r>
        <w:rPr>
          <w:rFonts w:ascii="Times New Roman" w:hAnsi="Times New Roman" w:cs="Times New Roman"/>
          <w:color w:val="auto"/>
          <w:szCs w:val="24"/>
        </w:rPr>
        <w:t>;</w:t>
      </w:r>
    </w:p>
    <w:p w:rsidR="00044CFC" w:rsidRPr="00B11C13" w:rsidRDefault="002543BC" w:rsidP="002543BC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роли лесов в защите почв и водных ресурсов и обеспечении средств к существованию.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ДЗЗ для сбора информации по </w:t>
      </w:r>
      <w:r w:rsidR="00161374" w:rsidRPr="00B11C13">
        <w:rPr>
          <w:rFonts w:ascii="Times New Roman" w:hAnsi="Times New Roman" w:cs="Times New Roman"/>
          <w:color w:val="auto"/>
          <w:szCs w:val="24"/>
        </w:rPr>
        <w:t>Г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ОЛР было впервые применено в ОЛР-1980. До ОЛР-2000 оно ограничивалось всем тропическим регионом, а ОЛР-2005 совсем не включала в себя компонента </w:t>
      </w:r>
      <w:r w:rsidR="002543BC">
        <w:rPr>
          <w:rFonts w:ascii="Times New Roman" w:hAnsi="Times New Roman" w:cs="Times New Roman"/>
          <w:color w:val="auto"/>
          <w:szCs w:val="24"/>
        </w:rPr>
        <w:t>ДЗЗ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. Обследование методами ДЗЗ в рамках ОЛР-2010 считается амбициозной инициативой, нацеленной на создание механизма долгосрочного глобального наблюдения за лесами, главная задача которого заключается в непрерывном сборе данных о тенденциях изменения состояния широких категорий лесов, выходящих за пределы национальных границ.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современном мире существует множество организаций и учреждений, помимо ФАО, желающих создать независимую систему наблюдения за лесами, основанную на методах ДЗЗ. Возникло стратегическое партнерство ФАО в этой области, в частности, с североамериканскими и европейскими группами исследователей (Группа по наблюдению за Землей</w:t>
      </w:r>
      <w:r w:rsidR="002543BC">
        <w:rPr>
          <w:rFonts w:ascii="Times New Roman" w:hAnsi="Times New Roman" w:cs="Times New Roman"/>
          <w:color w:val="auto"/>
          <w:szCs w:val="24"/>
        </w:rPr>
        <w:t>,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GEO, Совместный исследовательский центр Еврокомиссии, Университет штата Южная Дакота, США, Бразильски</w:t>
      </w:r>
      <w:r w:rsidR="002543BC">
        <w:rPr>
          <w:rFonts w:ascii="Times New Roman" w:hAnsi="Times New Roman" w:cs="Times New Roman"/>
          <w:color w:val="auto"/>
          <w:szCs w:val="24"/>
        </w:rPr>
        <w:t>й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национальны</w:t>
      </w:r>
      <w:r w:rsidR="002543BC">
        <w:rPr>
          <w:rFonts w:ascii="Times New Roman" w:hAnsi="Times New Roman" w:cs="Times New Roman"/>
          <w:color w:val="auto"/>
          <w:szCs w:val="24"/>
        </w:rPr>
        <w:t>й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институт космических исследований</w:t>
      </w:r>
      <w:r w:rsidR="002543BC">
        <w:rPr>
          <w:rFonts w:ascii="Times New Roman" w:hAnsi="Times New Roman" w:cs="Times New Roman"/>
          <w:color w:val="auto"/>
          <w:szCs w:val="24"/>
        </w:rPr>
        <w:t>,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INPE и др</w:t>
      </w:r>
      <w:r w:rsidR="002543BC">
        <w:rPr>
          <w:rFonts w:ascii="Times New Roman" w:hAnsi="Times New Roman" w:cs="Times New Roman"/>
          <w:color w:val="auto"/>
          <w:szCs w:val="24"/>
        </w:rPr>
        <w:t xml:space="preserve">.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организациями.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В процесс предоставления отчетности странами для ОЛР-2010 было вовлечено более 900 специалистов, в том числе 178 национальных корреспондентов и их групп, консультативная группа, международные эксперты, работники ФАО, консультанты и добровольцы со всего мира. Около 200-300 дополнительных специалистов будут привлечены к участию в обследовании методом дистанционного зондирования и специальных исследованиях. Координация ОЛР-2010 была возложена на Группу оценки глобальных лесных ресурсов и отчетности, расположенную в штаб-квартире ФАО в Риме. Европейская экономическая комиссия </w:t>
      </w:r>
      <w:r w:rsidR="002543BC">
        <w:rPr>
          <w:rFonts w:ascii="Times New Roman" w:hAnsi="Times New Roman" w:cs="Times New Roman"/>
          <w:color w:val="auto"/>
          <w:szCs w:val="24"/>
        </w:rPr>
        <w:t>(ЕЭК) ООН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в Женеве выступала в качестве ключевой организации-партнера, отвечавшей за поддержание связи и оказание поддержки европейским странам.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На 21-й сессии КОФО (сентябрь 2012 г.) была разработана и утверждена </w:t>
      </w:r>
      <w:r w:rsidR="002543BC">
        <w:rPr>
          <w:rFonts w:ascii="Times New Roman" w:hAnsi="Times New Roman" w:cs="Times New Roman"/>
          <w:color w:val="auto"/>
          <w:szCs w:val="24"/>
        </w:rPr>
        <w:t>Д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олгосрочная стратегия по программе Глобальной оценки лесных ресурсов. В Стратегии указано, что ГОЛР обеспечивают устойчивое управление лесами, дают оценку состояния лесов и оказывают поддержку лесозаготовительному сектору, обеспечивая надежной информацией о лесах мира. В течение 2012 г. национальные корреспонденты </w:t>
      </w:r>
      <w:r w:rsidR="002543BC">
        <w:rPr>
          <w:rFonts w:ascii="Times New Roman" w:hAnsi="Times New Roman" w:cs="Times New Roman"/>
          <w:color w:val="auto"/>
          <w:szCs w:val="24"/>
        </w:rPr>
        <w:t>(от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="00793BEA">
        <w:rPr>
          <w:rFonts w:ascii="Times New Roman" w:hAnsi="Times New Roman" w:cs="Times New Roman"/>
          <w:color w:val="auto"/>
          <w:szCs w:val="24"/>
        </w:rPr>
        <w:t xml:space="preserve">Российской Федерации – </w:t>
      </w:r>
      <w:r w:rsidRPr="00B11C13">
        <w:rPr>
          <w:rFonts w:ascii="Times New Roman" w:hAnsi="Times New Roman" w:cs="Times New Roman"/>
          <w:color w:val="auto"/>
          <w:szCs w:val="24"/>
        </w:rPr>
        <w:t>представители Рослесхоза</w:t>
      </w:r>
      <w:r w:rsidR="00793BEA">
        <w:rPr>
          <w:rFonts w:ascii="Times New Roman" w:hAnsi="Times New Roman" w:cs="Times New Roman"/>
          <w:color w:val="auto"/>
          <w:szCs w:val="24"/>
        </w:rPr>
        <w:t>)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участвовали в завершающих этапах подготовки докладов ФАО: «Состояние лесов мира 2011», «Состояние лесов Европы 2011»</w:t>
      </w:r>
      <w:r w:rsidR="00793BEA">
        <w:rPr>
          <w:rFonts w:ascii="Times New Roman" w:hAnsi="Times New Roman" w:cs="Times New Roman"/>
          <w:color w:val="auto"/>
          <w:szCs w:val="24"/>
        </w:rPr>
        <w:t xml:space="preserve"> </w:t>
      </w:r>
      <w:r w:rsidR="00793BEA">
        <w:rPr>
          <w:rFonts w:ascii="Times New Roman" w:hAnsi="Times New Roman" w:cs="Times New Roman"/>
          <w:color w:val="auto"/>
          <w:szCs w:val="24"/>
        </w:rPr>
        <w:sym w:font="Symbol" w:char="F05B"/>
      </w:r>
      <w:r w:rsidR="00793BEA">
        <w:rPr>
          <w:rFonts w:ascii="Times New Roman" w:hAnsi="Times New Roman" w:cs="Times New Roman"/>
          <w:color w:val="auto"/>
          <w:szCs w:val="24"/>
        </w:rPr>
        <w:t>10</w:t>
      </w:r>
      <w:r w:rsidR="00793BEA">
        <w:rPr>
          <w:rFonts w:ascii="Times New Roman" w:hAnsi="Times New Roman" w:cs="Times New Roman"/>
          <w:color w:val="auto"/>
          <w:szCs w:val="24"/>
        </w:rPr>
        <w:sym w:font="Symbol" w:char="F05D"/>
      </w:r>
      <w:r w:rsidRPr="00B11C13">
        <w:rPr>
          <w:rFonts w:ascii="Times New Roman" w:hAnsi="Times New Roman" w:cs="Times New Roman"/>
          <w:color w:val="auto"/>
          <w:szCs w:val="24"/>
        </w:rPr>
        <w:t>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Подготовка к проведению ГОЛР–2015 велась с 2012 года. Первое совещание экспертов было проведено в феврале 2012 г. в Японии, где были определены основные задачи ГОЛР и этапы ее реализации. Это было совместное заседание представителей ФАО и региональных инициатив и процессов. Второе совещание проходило в Объединенном исследовательском центре Евро</w:t>
      </w:r>
      <w:r w:rsidR="00793BEA">
        <w:rPr>
          <w:rFonts w:ascii="Times New Roman" w:hAnsi="Times New Roman" w:cs="Times New Roman"/>
          <w:color w:val="auto"/>
          <w:szCs w:val="24"/>
        </w:rPr>
        <w:t>к</w:t>
      </w:r>
      <w:r w:rsidRPr="00B11C13">
        <w:rPr>
          <w:rFonts w:ascii="Times New Roman" w:hAnsi="Times New Roman" w:cs="Times New Roman"/>
          <w:color w:val="auto"/>
          <w:szCs w:val="24"/>
        </w:rPr>
        <w:t>омиссии 12</w:t>
      </w:r>
      <w:r w:rsidR="00793BEA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16 марта 2012 г. в Испре (Италия). Главная цель встречи – организация сопровождения ГОЛР-2015, оценка данных, предоставляемых национальными корреспондентами.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 xml:space="preserve">Группа наблюдателей представила участникам встречи «Спецификацию показателей для национальных докладов программы ФАО по Глобальной оценке лесных ресурсов </w:t>
      </w:r>
      <w:r w:rsidR="00793BEA">
        <w:rPr>
          <w:rFonts w:ascii="Times New Roman" w:hAnsi="Times New Roman" w:cs="Times New Roman"/>
          <w:color w:val="auto"/>
          <w:szCs w:val="24"/>
        </w:rPr>
        <w:t xml:space="preserve">– </w:t>
      </w:r>
      <w:r w:rsidRPr="00B11C13">
        <w:rPr>
          <w:rFonts w:ascii="Times New Roman" w:hAnsi="Times New Roman" w:cs="Times New Roman"/>
          <w:color w:val="auto"/>
          <w:szCs w:val="24"/>
        </w:rPr>
        <w:t>2015». Документ состоит из 7 разделов и содержит 19 показателей, одобренных рабочими группами. Совместная работа ФАО и международных региональных процессов по критериям и индикаторам устойчивого управления лесами позволит странам уменьшить бремя отчетности, а также повысит</w:t>
      </w:r>
      <w:r w:rsidR="00793BEA">
        <w:rPr>
          <w:rFonts w:ascii="Times New Roman" w:hAnsi="Times New Roman" w:cs="Times New Roman"/>
          <w:color w:val="auto"/>
          <w:szCs w:val="24"/>
        </w:rPr>
        <w:t>ь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ценность ГОЛР за счет включения более широкого круга индикаторов/показателей.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 ГОЛР</w:t>
      </w:r>
      <w:r w:rsidR="00793BEA">
        <w:rPr>
          <w:rFonts w:ascii="Times New Roman" w:hAnsi="Times New Roman" w:cs="Times New Roman"/>
          <w:color w:val="auto"/>
          <w:szCs w:val="24"/>
        </w:rPr>
        <w:t>-</w:t>
      </w:r>
      <w:r w:rsidRPr="00B11C13">
        <w:rPr>
          <w:rFonts w:ascii="Times New Roman" w:hAnsi="Times New Roman" w:cs="Times New Roman"/>
          <w:color w:val="auto"/>
          <w:szCs w:val="24"/>
        </w:rPr>
        <w:t>2015 используется критерий 6 (</w:t>
      </w:r>
      <w:r w:rsidR="00793BEA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Поддержание и расширение долгосрочных множественных социально-экономических выгод для удовлетворения потребностей общества</w:t>
      </w:r>
      <w:r w:rsidR="00793BEA">
        <w:rPr>
          <w:rFonts w:ascii="Times New Roman" w:hAnsi="Times New Roman" w:cs="Times New Roman"/>
          <w:color w:val="auto"/>
          <w:szCs w:val="24"/>
        </w:rPr>
        <w:t>»</w:t>
      </w:r>
      <w:r w:rsidRPr="00B11C13">
        <w:rPr>
          <w:rFonts w:ascii="Times New Roman" w:hAnsi="Times New Roman" w:cs="Times New Roman"/>
          <w:color w:val="auto"/>
          <w:szCs w:val="24"/>
        </w:rPr>
        <w:t>) и критерий 7 (</w:t>
      </w:r>
      <w:r w:rsidR="00793BEA">
        <w:rPr>
          <w:rFonts w:ascii="Times New Roman" w:hAnsi="Times New Roman" w:cs="Times New Roman"/>
          <w:color w:val="auto"/>
          <w:szCs w:val="24"/>
        </w:rPr>
        <w:t>«</w:t>
      </w:r>
      <w:r w:rsidRPr="00B11C13">
        <w:rPr>
          <w:rFonts w:ascii="Times New Roman" w:hAnsi="Times New Roman" w:cs="Times New Roman"/>
          <w:color w:val="auto"/>
          <w:szCs w:val="24"/>
        </w:rPr>
        <w:t>Юридические, институциональные и экономические структуры для со хранения лесов и устойчивого управления ими</w:t>
      </w:r>
      <w:r w:rsidR="00793BEA">
        <w:rPr>
          <w:rFonts w:ascii="Times New Roman" w:hAnsi="Times New Roman" w:cs="Times New Roman"/>
          <w:color w:val="auto"/>
          <w:szCs w:val="24"/>
        </w:rPr>
        <w:t>»</w:t>
      </w:r>
      <w:r w:rsidRPr="00B11C13">
        <w:rPr>
          <w:rFonts w:ascii="Times New Roman" w:hAnsi="Times New Roman" w:cs="Times New Roman"/>
          <w:color w:val="auto"/>
          <w:szCs w:val="24"/>
        </w:rPr>
        <w:t>) Монреальского процесса.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В</w:t>
      </w:r>
      <w:r w:rsidR="00793BEA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ОЛР-2015 особое внимание уделено улучшению информации о темпах обезлесения и деградации лесов, запасах лесного углерода, лесопосадках на землях, не имевших лесного покрова, и роли лесов в защите почв и водных ресурсов и в обеспечении средств к существованию.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Для содействия проведению глобальной оценки лесных ресурсов, соответствующей долгосрочным глобальным потребностям человечества, Комитет ФАО по лесному хозяйству (КОФО/COFO), обратился к ФАО с просьбой:</w:t>
      </w:r>
    </w:p>
    <w:p w:rsidR="00044CFC" w:rsidRPr="00B11C13" w:rsidRDefault="00793BEA" w:rsidP="00793BEA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подготовить долгосрочную стратегию для программы ОЛР в соответствии с прогнозами в отношении устойчивого финансирования;</w:t>
      </w:r>
    </w:p>
    <w:p w:rsidR="00044CFC" w:rsidRPr="00B11C13" w:rsidRDefault="00793BEA" w:rsidP="00793BEA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продолжить процесс упрощения связанной с лесами отчетности и подготовки кадров на национальном и международном уровнях;</w:t>
      </w:r>
    </w:p>
    <w:p w:rsidR="00044CFC" w:rsidRPr="00B11C13" w:rsidRDefault="00793BEA" w:rsidP="00793BEA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>изучить возможность более частого представления информации по ряду ключевых переменных параметров без неоправданного увеличения бремени отчетности для стран;</w:t>
      </w:r>
    </w:p>
    <w:p w:rsidR="00044CFC" w:rsidRPr="00B11C13" w:rsidRDefault="00793BEA" w:rsidP="00793BEA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– 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продолжать координацию международных усилий по использованию </w:t>
      </w:r>
      <w:r>
        <w:rPr>
          <w:rFonts w:ascii="Times New Roman" w:hAnsi="Times New Roman" w:cs="Times New Roman"/>
          <w:color w:val="auto"/>
          <w:szCs w:val="24"/>
        </w:rPr>
        <w:t>ДЗЗ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для наблюдения за лесами на глобальном уровне, и по подготовке кадров в странах для использования данных </w:t>
      </w:r>
      <w:r>
        <w:rPr>
          <w:rFonts w:ascii="Times New Roman" w:hAnsi="Times New Roman" w:cs="Times New Roman"/>
          <w:color w:val="auto"/>
          <w:szCs w:val="24"/>
        </w:rPr>
        <w:t>ДЗЗ</w:t>
      </w:r>
      <w:r w:rsidR="00044CFC" w:rsidRPr="00B11C13">
        <w:rPr>
          <w:rFonts w:ascii="Times New Roman" w:hAnsi="Times New Roman" w:cs="Times New Roman"/>
          <w:color w:val="auto"/>
          <w:szCs w:val="24"/>
        </w:rPr>
        <w:t xml:space="preserve"> и применения методики их анализа.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  <w:lang w:bidi="ru-RU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ОЛР-2015 появилась в решающий для лесов и устойчивого развития год. В 2015 г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.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определилась повестка дня в области развития до 2030 г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.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, включая принятие новых 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Ц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елей в области устойчивого развития (ЦУР). Лесам и их роли в защите и восстановлении земных экосистем, а также обеспечиваемым ими услугам, отводится важное место в повестке дня в области развития на период после 2015 г.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На Конференции сторон Рамочной конвенции О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ОН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об изменении климата в Париже в декабре 2015 г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.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>, мировое сообщество обсуждало с целью заключения глобально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го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и всеобъемлюще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го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соглашени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я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об изменении климата, одним из ключевых компонентов которого являются леса. В 2015 г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.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в Дурбане состоялся XIV Всемирный лесохозяйственный конгресс </w:t>
      </w:r>
      <w:r w:rsidR="00793BEA">
        <w:rPr>
          <w:rFonts w:ascii="Times New Roman" w:hAnsi="Times New Roman" w:cs="Times New Roman"/>
          <w:color w:val="auto"/>
          <w:szCs w:val="24"/>
          <w:lang w:bidi="ru-RU"/>
        </w:rPr>
        <w:t>–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крупнейшее международное лесное мероприятие этого десятилетия, впервые проводимое ФАО в Африке, где были представлены результаты ОЛР-2015.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  <w:lang w:bidi="ru-RU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ОЛР-2015 отразили весьма обнадеживающую тенденцию к снижению темпов обезлесения, сокращению выбросов углерода из лесов и к росту потенциала для устойчивого управления лесами. Существенно повысилась достоверность собранной информации: в настоящее время национальная лесная инвентаризация охватывает около 81% всей площади лесов мира </w:t>
      </w:r>
      <w:r w:rsidR="00322848">
        <w:rPr>
          <w:rFonts w:ascii="Times New Roman" w:hAnsi="Times New Roman" w:cs="Times New Roman"/>
          <w:color w:val="auto"/>
          <w:szCs w:val="24"/>
          <w:lang w:bidi="ru-RU"/>
        </w:rPr>
        <w:t>–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это действительно значительный рост, достигнутый за последнее десятилетие.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  <w:lang w:bidi="ru-RU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Все это позволило сделать два важных вывода: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  <w:lang w:bidi="ru-RU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1) сегодня м</w:t>
      </w:r>
      <w:r w:rsidR="00322848">
        <w:rPr>
          <w:rFonts w:ascii="Times New Roman" w:hAnsi="Times New Roman" w:cs="Times New Roman"/>
          <w:color w:val="auto"/>
          <w:szCs w:val="24"/>
          <w:lang w:bidi="ru-RU"/>
        </w:rPr>
        <w:t>ировое сообщество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располагае</w:t>
      </w:r>
      <w:r w:rsidR="00322848">
        <w:rPr>
          <w:rFonts w:ascii="Times New Roman" w:hAnsi="Times New Roman" w:cs="Times New Roman"/>
          <w:color w:val="auto"/>
          <w:szCs w:val="24"/>
          <w:lang w:bidi="ru-RU"/>
        </w:rPr>
        <w:t>т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огромным объемом достоверной информации о состоянии лесов мира;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2) наблюдается положительный вектор изменений с множеством впечатляющих примеров прогресса во всех регионах мира</w:t>
      </w:r>
      <w:r w:rsidR="00322848">
        <w:rPr>
          <w:rFonts w:ascii="Times New Roman" w:hAnsi="Times New Roman" w:cs="Times New Roman"/>
          <w:color w:val="auto"/>
          <w:szCs w:val="24"/>
          <w:lang w:bidi="ru-RU"/>
        </w:rPr>
        <w:t>,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</w:t>
      </w:r>
      <w:r w:rsidR="00322848">
        <w:rPr>
          <w:rFonts w:ascii="Times New Roman" w:hAnsi="Times New Roman" w:cs="Times New Roman"/>
          <w:color w:val="auto"/>
          <w:szCs w:val="24"/>
          <w:lang w:bidi="ru-RU"/>
        </w:rPr>
        <w:t>о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днако эту тенденцию необходимо усилить, особенно в странах, которые пока еще отстают в достижении этих целей.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ОЛР-2015 является результатом коллективных усилий стран, а также около 300 национальных корреспондентов, партнеров и ФАО. Организованная шестью партнерами и процессами программа «Совместный вопросник по лесным ресурсам» охватывает 88% мировых лесов. Эта совместная работа повышает согласованность данных и снижает бремя отчетности стран. Наряду с этим в ОЛР-2015 впервые включены показатели качества собранных данных.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  <w:lang w:bidi="ru-RU"/>
        </w:rPr>
      </w:pP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ОЛР-2015 предоставляется в различных форматах, в том числе в виде обобщенного документа, настольного справочника, содержащего сводные таблицы, спецвыпуска журнала «</w:t>
      </w:r>
      <w:r w:rsidR="0053138D" w:rsidRPr="00B11C13">
        <w:rPr>
          <w:rFonts w:ascii="Times New Roman" w:hAnsi="Times New Roman" w:cs="Times New Roman"/>
          <w:color w:val="auto"/>
          <w:szCs w:val="24"/>
          <w:lang w:val="en-US" w:bidi="ru-RU"/>
        </w:rPr>
        <w:t>Forest</w:t>
      </w:r>
      <w:r w:rsidR="0053138D"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</w:t>
      </w:r>
      <w:r w:rsidR="0053138D" w:rsidRPr="00B11C13">
        <w:rPr>
          <w:rFonts w:ascii="Times New Roman" w:hAnsi="Times New Roman" w:cs="Times New Roman"/>
          <w:color w:val="auto"/>
          <w:szCs w:val="24"/>
          <w:lang w:val="en-US" w:bidi="ru-RU"/>
        </w:rPr>
        <w:t>Ecology</w:t>
      </w:r>
      <w:r w:rsidR="0053138D"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</w:t>
      </w:r>
      <w:r w:rsidR="0053138D" w:rsidRPr="00B11C13">
        <w:rPr>
          <w:rFonts w:ascii="Times New Roman" w:hAnsi="Times New Roman" w:cs="Times New Roman"/>
          <w:color w:val="auto"/>
          <w:szCs w:val="24"/>
          <w:lang w:val="en-US" w:bidi="ru-RU"/>
        </w:rPr>
        <w:t>and</w:t>
      </w:r>
      <w:r w:rsidR="0053138D"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 </w:t>
      </w:r>
      <w:r w:rsidR="0053138D" w:rsidRPr="00B11C13">
        <w:rPr>
          <w:rFonts w:ascii="Times New Roman" w:hAnsi="Times New Roman" w:cs="Times New Roman"/>
          <w:color w:val="auto"/>
          <w:szCs w:val="24"/>
          <w:lang w:val="en-US" w:bidi="ru-RU"/>
        </w:rPr>
        <w:t>management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» и веб-сайта 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Forest Land Use Data Explorer </w:t>
      </w:r>
      <w:r w:rsidR="00322848">
        <w:rPr>
          <w:rFonts w:ascii="Times New Roman" w:hAnsi="Times New Roman" w:cs="Times New Roman"/>
          <w:color w:val="auto"/>
          <w:szCs w:val="24"/>
        </w:rPr>
        <w:t>–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онлайновой базы данных, в которой данные ОЛР объединены с данными из других источников ФАО.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>ОЛР-2015 является важным шагом вперед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для ФАО, её Лесного департамента и для всего человечества</w:t>
      </w:r>
      <w:r w:rsidRPr="00B11C13">
        <w:rPr>
          <w:rFonts w:ascii="Times New Roman" w:hAnsi="Times New Roman" w:cs="Times New Roman"/>
          <w:color w:val="auto"/>
          <w:szCs w:val="24"/>
          <w:lang w:bidi="ru-RU"/>
        </w:rPr>
        <w:t xml:space="preserve">. </w:t>
      </w:r>
    </w:p>
    <w:p w:rsidR="00044CFC" w:rsidRPr="00B11C13" w:rsidRDefault="00044CFC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B11C13">
        <w:rPr>
          <w:rFonts w:ascii="Times New Roman" w:hAnsi="Times New Roman" w:cs="Times New Roman"/>
          <w:color w:val="auto"/>
          <w:szCs w:val="24"/>
        </w:rPr>
        <w:t>КОФО рекоменд</w:t>
      </w:r>
      <w:r w:rsidR="0053138D" w:rsidRPr="00B11C13">
        <w:rPr>
          <w:rFonts w:ascii="Times New Roman" w:hAnsi="Times New Roman" w:cs="Times New Roman"/>
          <w:color w:val="auto"/>
          <w:szCs w:val="24"/>
        </w:rPr>
        <w:t>овал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Форуму О</w:t>
      </w:r>
      <w:r w:rsidR="00322848">
        <w:rPr>
          <w:rFonts w:ascii="Times New Roman" w:hAnsi="Times New Roman" w:cs="Times New Roman"/>
          <w:color w:val="auto"/>
          <w:szCs w:val="24"/>
        </w:rPr>
        <w:t>ОН</w:t>
      </w:r>
      <w:r w:rsidRPr="00B11C13">
        <w:rPr>
          <w:rFonts w:ascii="Times New Roman" w:hAnsi="Times New Roman" w:cs="Times New Roman"/>
          <w:color w:val="auto"/>
          <w:szCs w:val="24"/>
        </w:rPr>
        <w:t xml:space="preserve"> по лесам (ФЛООН) использовать результаты ОЛР-2010 и ОЛР-2015 в качестве объективного показателя прогресса в направлении устойчивого управления лесами. В этом выражаются наиболее насущные потребности, сформулированные в ходе переговоров по Рамочной конвенции ООН об изменении климата, а также в ходе обзора результатов решенных задач в области биоразнообразия, представленных Секретариатом Конвенции о биоразнообразии, равно как и выполненных и предстоящих обзоров хода работы по достижению «Глобальных целей в отношении лесов», сформулированных ФЛООН.</w:t>
      </w:r>
    </w:p>
    <w:p w:rsidR="00444D48" w:rsidRDefault="00444D48" w:rsidP="00B11C13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</w:p>
    <w:p w:rsidR="00322848" w:rsidRPr="00322848" w:rsidRDefault="00322848" w:rsidP="003228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22848">
        <w:rPr>
          <w:rFonts w:ascii="Times New Roman" w:hAnsi="Times New Roman" w:cs="Times New Roman"/>
          <w:b/>
          <w:color w:val="auto"/>
          <w:sz w:val="22"/>
        </w:rPr>
        <w:t>Литература</w:t>
      </w:r>
    </w:p>
    <w:p w:rsidR="00322848" w:rsidRPr="00322848" w:rsidRDefault="00322848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</w:rPr>
      </w:pPr>
    </w:p>
    <w:p w:rsidR="00322848" w:rsidRPr="00322848" w:rsidRDefault="00322848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401411">
        <w:rPr>
          <w:rFonts w:ascii="Times New Roman" w:hAnsi="Times New Roman" w:cs="Times New Roman"/>
          <w:color w:val="auto"/>
          <w:sz w:val="22"/>
        </w:rPr>
        <w:t xml:space="preserve">1.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Forest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resources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of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the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world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 // </w:t>
      </w:r>
      <w:r w:rsidRPr="00322848">
        <w:rPr>
          <w:rFonts w:ascii="Times New Roman" w:hAnsi="Times New Roman" w:cs="Times New Roman"/>
          <w:iCs/>
          <w:color w:val="auto"/>
          <w:sz w:val="22"/>
          <w:lang w:val="en-US"/>
        </w:rPr>
        <w:t>Unasylva</w:t>
      </w:r>
      <w:r w:rsidRPr="00401411">
        <w:rPr>
          <w:rFonts w:ascii="Times New Roman" w:hAnsi="Times New Roman" w:cs="Times New Roman"/>
          <w:iCs/>
          <w:color w:val="auto"/>
          <w:sz w:val="22"/>
        </w:rPr>
        <w:t xml:space="preserve"> (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FAO</w:t>
      </w:r>
      <w:r w:rsidRPr="00401411">
        <w:rPr>
          <w:rFonts w:ascii="Times New Roman" w:hAnsi="Times New Roman" w:cs="Times New Roman"/>
          <w:color w:val="auto"/>
          <w:sz w:val="22"/>
        </w:rPr>
        <w:t xml:space="preserve">), 1948.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2</w:t>
      </w:r>
      <w:r w:rsidR="00886367"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(4)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. –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="00886367">
        <w:rPr>
          <w:rFonts w:ascii="Times New Roman" w:hAnsi="Times New Roman" w:cs="Times New Roman"/>
          <w:color w:val="auto"/>
          <w:sz w:val="22"/>
        </w:rPr>
        <w:t>Рр</w:t>
      </w:r>
      <w:r w:rsidR="00886367"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.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161</w:t>
      </w:r>
      <w:r w:rsidR="00886367" w:rsidRPr="00886367">
        <w:rPr>
          <w:rFonts w:ascii="Times New Roman" w:hAnsi="Times New Roman" w:cs="Times New Roman"/>
          <w:color w:val="auto"/>
          <w:sz w:val="22"/>
          <w:lang w:val="en-US"/>
        </w:rPr>
        <w:t>-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182.</w:t>
      </w:r>
    </w:p>
    <w:p w:rsidR="00886367" w:rsidRPr="00886367" w:rsidRDefault="00886367" w:rsidP="00886367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2.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Global Forest Resources Assessment 2005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Pr="00322848">
        <w:rPr>
          <w:rFonts w:ascii="Times New Roman" w:hAnsi="Times New Roman" w:cs="Times New Roman"/>
          <w:color w:val="auto"/>
          <w:sz w:val="22"/>
          <w:lang w:val="en-GB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Progress towards sustainable forest management.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FAO Forestry Paper 147. 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–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Rome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: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FAO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,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2006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–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350 p.</w:t>
      </w:r>
    </w:p>
    <w:p w:rsidR="00322848" w:rsidRPr="00322848" w:rsidRDefault="00886367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3.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Forest Resources Assessment 1990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Tropical countries.</w:t>
      </w:r>
      <w:r w:rsidRPr="00886367">
        <w:rPr>
          <w:rFonts w:ascii="Times New Roman" w:hAnsi="Times New Roman" w:cs="Times New Roman"/>
          <w:color w:val="auto"/>
          <w:sz w:val="22"/>
          <w:lang w:val="en-US"/>
        </w:rPr>
        <w:t xml:space="preserve"> –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Forestry Paper </w:t>
      </w:r>
      <w:r w:rsidR="007E739B" w:rsidRPr="00322848">
        <w:rPr>
          <w:rFonts w:ascii="Times New Roman" w:hAnsi="Times New Roman" w:cs="Times New Roman"/>
          <w:color w:val="auto"/>
          <w:sz w:val="22"/>
          <w:lang w:val="en-US"/>
        </w:rPr>
        <w:t>No</w:t>
      </w:r>
      <w:r w:rsidR="007E739B" w:rsidRPr="007E739B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112.</w:t>
      </w:r>
      <w:r w:rsidR="00B259F6"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 –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="00B259F6"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FAO, 1993</w:t>
      </w:r>
      <w:r w:rsidR="00B259F6" w:rsidRPr="00B259F6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="00B259F6"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– </w:t>
      </w:r>
      <w:r w:rsidR="00322848" w:rsidRPr="00322848">
        <w:rPr>
          <w:rFonts w:ascii="Times New Roman" w:hAnsi="Times New Roman" w:cs="Times New Roman"/>
          <w:color w:val="auto"/>
          <w:sz w:val="22"/>
          <w:lang w:val="en-GB"/>
        </w:rPr>
        <w:t xml:space="preserve">101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p</w:t>
      </w:r>
      <w:r w:rsidR="00322848" w:rsidRPr="00322848">
        <w:rPr>
          <w:rFonts w:ascii="Times New Roman" w:hAnsi="Times New Roman" w:cs="Times New Roman"/>
          <w:color w:val="auto"/>
          <w:sz w:val="22"/>
          <w:lang w:val="en-GB"/>
        </w:rPr>
        <w:t>.</w:t>
      </w:r>
    </w:p>
    <w:p w:rsidR="00322848" w:rsidRPr="00322848" w:rsidRDefault="00B259F6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4. </w:t>
      </w:r>
      <w:r w:rsidR="00322848"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>Forest Resources Assessment 1990</w:t>
      </w:r>
      <w:r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 xml:space="preserve">: </w:t>
      </w:r>
      <w:r>
        <w:rPr>
          <w:rFonts w:ascii="Times New Roman" w:hAnsi="Times New Roman" w:cs="Times New Roman"/>
          <w:iCs/>
          <w:color w:val="auto"/>
          <w:sz w:val="22"/>
          <w:lang w:val="en-US"/>
        </w:rPr>
        <w:t>N</w:t>
      </w:r>
      <w:r w:rsidR="00322848"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>on-tropical developing countries Mediterranean region.</w:t>
      </w:r>
      <w:r w:rsidR="00322848" w:rsidRPr="00322848">
        <w:rPr>
          <w:rFonts w:ascii="Times New Roman" w:hAnsi="Times New Roman" w:cs="Times New Roman"/>
          <w:i/>
          <w:iCs/>
          <w:color w:val="auto"/>
          <w:sz w:val="22"/>
          <w:lang w:val="en-US"/>
        </w:rPr>
        <w:t xml:space="preserve"> </w:t>
      </w:r>
      <w:r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 xml:space="preserve"> –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Rome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: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FAO, 199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4.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hyperlink r:id="rId7" w:history="1">
        <w:r w:rsidR="00322848" w:rsidRPr="00B259F6">
          <w:rPr>
            <w:rStyle w:val="a7"/>
            <w:rFonts w:ascii="Times New Roman" w:hAnsi="Times New Roman" w:cs="Times New Roman"/>
            <w:color w:val="auto"/>
            <w:sz w:val="22"/>
            <w:u w:val="none"/>
            <w:lang w:val="en-US"/>
          </w:rPr>
          <w:t>www.fao.org/</w:t>
        </w:r>
      </w:hyperlink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 d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ocrep/007/t3910e/t3910e00.htm.</w:t>
      </w:r>
    </w:p>
    <w:p w:rsidR="00322848" w:rsidRPr="00322848" w:rsidRDefault="00B259F6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5. 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>Forest Resources Assessment 1990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2"/>
          <w:lang w:val="en-US"/>
        </w:rPr>
        <w:t>G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>lobal synthesis.</w:t>
      </w:r>
      <w:r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FAO </w:t>
      </w:r>
      <w:r>
        <w:rPr>
          <w:rFonts w:ascii="Times New Roman" w:hAnsi="Times New Roman" w:cs="Times New Roman"/>
          <w:color w:val="auto"/>
          <w:sz w:val="22"/>
          <w:lang w:val="en-US"/>
        </w:rPr>
        <w:t>F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orestry </w:t>
      </w:r>
      <w:r>
        <w:rPr>
          <w:rFonts w:ascii="Times New Roman" w:hAnsi="Times New Roman" w:cs="Times New Roman"/>
          <w:color w:val="auto"/>
          <w:sz w:val="22"/>
          <w:lang w:val="en-US"/>
        </w:rPr>
        <w:t>P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aper.</w:t>
      </w:r>
      <w:r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–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>, 1995.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 –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 124 p.</w:t>
      </w:r>
    </w:p>
    <w:p w:rsidR="00322848" w:rsidRPr="00322848" w:rsidRDefault="00B259F6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6. </w:t>
      </w:r>
      <w:r w:rsidR="00322848"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>Forest Resources Assessment 1990</w:t>
      </w:r>
      <w:r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>:</w:t>
      </w:r>
      <w:r w:rsidR="00322848"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2"/>
          <w:lang w:val="en-US"/>
        </w:rPr>
        <w:t>G</w:t>
      </w:r>
      <w:r w:rsidR="00322848" w:rsidRPr="00B259F6">
        <w:rPr>
          <w:rFonts w:ascii="Times New Roman" w:hAnsi="Times New Roman" w:cs="Times New Roman"/>
          <w:iCs/>
          <w:color w:val="auto"/>
          <w:sz w:val="22"/>
          <w:lang w:val="en-US"/>
        </w:rPr>
        <w:t>lobal synthesis</w:t>
      </w:r>
      <w:r w:rsidR="00322848" w:rsidRPr="00B259F6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 Forestry Paper No. 124. </w:t>
      </w:r>
      <w:r w:rsidR="007E739B"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– </w:t>
      </w:r>
      <w:r w:rsidR="007E739B"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="007E739B"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7E739B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</w:t>
      </w:r>
      <w:r w:rsidR="007E739B" w:rsidRPr="00B259F6">
        <w:rPr>
          <w:rFonts w:ascii="Times New Roman" w:hAnsi="Times New Roman" w:cs="Times New Roman"/>
          <w:color w:val="auto"/>
          <w:sz w:val="22"/>
          <w:lang w:val="en-US"/>
        </w:rPr>
        <w:t>, 1995.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www.fao.org/docrep/007/v5695e/v5695e00.htm.</w:t>
      </w:r>
    </w:p>
    <w:p w:rsidR="00322848" w:rsidRPr="00322848" w:rsidRDefault="007E739B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7. 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>Global Forest Resources Assessment 2000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 Main report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 FAO Forestry Paper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No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. 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>140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. –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, 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2001. – 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>479 p.</w:t>
      </w:r>
      <w:r w:rsidR="00322848" w:rsidRPr="007E739B">
        <w:rPr>
          <w:rFonts w:ascii="Times New Roman" w:eastAsia="Batang" w:hAnsi="Times New Roman" w:cs="Times New Roman"/>
          <w:color w:val="auto"/>
          <w:sz w:val="22"/>
          <w:lang w:val="en-US" w:eastAsia="ko-KR"/>
        </w:rPr>
        <w:t xml:space="preserve"> www.fao.org/forestry/site/7949/en.</w:t>
      </w:r>
    </w:p>
    <w:p w:rsidR="00322848" w:rsidRPr="00322848" w:rsidRDefault="007E739B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8.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Global Forest Resources Assessment: Main Report. FAO Forestry Paper No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163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. –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FAO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 xml:space="preserve">,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2011.</w:t>
      </w:r>
      <w:r w:rsidRPr="007E739B">
        <w:rPr>
          <w:rFonts w:ascii="Times New Roman" w:hAnsi="Times New Roman" w:cs="Times New Roman"/>
          <w:color w:val="auto"/>
          <w:sz w:val="22"/>
          <w:lang w:val="en-US"/>
        </w:rPr>
        <w:t xml:space="preserve"> –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378 p.</w:t>
      </w:r>
      <w:r w:rsidR="00322848" w:rsidRPr="007E739B">
        <w:rPr>
          <w:rFonts w:ascii="Times New Roman" w:hAnsi="Times New Roman" w:cs="Times New Roman"/>
          <w:color w:val="auto"/>
          <w:sz w:val="22"/>
          <w:lang w:val="en-US"/>
        </w:rPr>
        <w:t>;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</w:p>
    <w:p w:rsidR="00970C44" w:rsidRPr="00970C44" w:rsidRDefault="00970C44" w:rsidP="00970C44">
      <w:pPr>
        <w:pStyle w:val="a3"/>
        <w:ind w:firstLine="709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" w:name="_GoBack"/>
      <w:r w:rsidRPr="00970C4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9. </w:t>
      </w:r>
      <w:hyperlink r:id="rId8" w:history="1">
        <w:r w:rsidRPr="00970C44">
          <w:rPr>
            <w:rStyle w:val="a7"/>
            <w:rFonts w:ascii="Times New Roman" w:eastAsia="Segoe UI" w:hAnsi="Times New Roman" w:cs="Times New Roman"/>
            <w:color w:val="auto"/>
            <w:sz w:val="22"/>
            <w:szCs w:val="22"/>
            <w:u w:val="none"/>
            <w:lang w:val="en-US"/>
          </w:rPr>
          <w:t>www.fao.org/forestry/fra2010</w:t>
        </w:r>
      </w:hyperlink>
    </w:p>
    <w:p w:rsidR="00322848" w:rsidRPr="00401411" w:rsidRDefault="00970C44" w:rsidP="00322848">
      <w:pPr>
        <w:spacing w:line="240" w:lineRule="auto"/>
        <w:ind w:firstLine="709"/>
        <w:rPr>
          <w:rFonts w:ascii="Times New Roman" w:hAnsi="Times New Roman" w:cs="Times New Roman"/>
          <w:color w:val="auto"/>
          <w:sz w:val="22"/>
          <w:lang w:val="en-US"/>
        </w:rPr>
      </w:pPr>
      <w:r w:rsidRPr="00970C44">
        <w:rPr>
          <w:rFonts w:ascii="Times New Roman" w:hAnsi="Times New Roman" w:cs="Times New Roman"/>
          <w:color w:val="auto"/>
          <w:sz w:val="22"/>
          <w:lang w:val="en-US"/>
        </w:rPr>
        <w:t>10</w:t>
      </w:r>
      <w:r w:rsidR="007E739B" w:rsidRPr="00970C44">
        <w:rPr>
          <w:rFonts w:ascii="Times New Roman" w:hAnsi="Times New Roman" w:cs="Times New Roman"/>
          <w:color w:val="auto"/>
          <w:sz w:val="22"/>
          <w:lang w:val="en-US"/>
        </w:rPr>
        <w:t xml:space="preserve">.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State of the World’s Forests.</w:t>
      </w:r>
      <w:r w:rsidRPr="00970C44">
        <w:rPr>
          <w:rFonts w:ascii="Times New Roman" w:hAnsi="Times New Roman" w:cs="Times New Roman"/>
          <w:color w:val="auto"/>
          <w:sz w:val="22"/>
          <w:lang w:val="en-US"/>
        </w:rPr>
        <w:t xml:space="preserve"> –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>Rome</w:t>
      </w:r>
      <w:r w:rsidRPr="00B259F6">
        <w:rPr>
          <w:rFonts w:ascii="Times New Roman" w:hAnsi="Times New Roman" w:cs="Times New Roman"/>
          <w:color w:val="auto"/>
          <w:sz w:val="22"/>
          <w:lang w:val="en-US"/>
        </w:rPr>
        <w:t>:</w:t>
      </w:r>
      <w:r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FAO, 2012.</w:t>
      </w:r>
      <w:r w:rsidRPr="00970C44">
        <w:rPr>
          <w:rFonts w:ascii="Times New Roman" w:hAnsi="Times New Roman" w:cs="Times New Roman"/>
          <w:color w:val="auto"/>
          <w:sz w:val="22"/>
          <w:lang w:val="en-US"/>
        </w:rPr>
        <w:t xml:space="preserve"> –</w:t>
      </w:r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 xml:space="preserve"> 60 </w:t>
      </w:r>
      <w:bookmarkEnd w:id="1"/>
      <w:r w:rsidR="00322848" w:rsidRPr="00322848">
        <w:rPr>
          <w:rFonts w:ascii="Times New Roman" w:hAnsi="Times New Roman" w:cs="Times New Roman"/>
          <w:color w:val="auto"/>
          <w:sz w:val="22"/>
          <w:lang w:val="en-US"/>
        </w:rPr>
        <w:t>p.</w:t>
      </w:r>
    </w:p>
    <w:p w:rsidR="00970C44" w:rsidRDefault="00970C44" w:rsidP="00712779">
      <w:pPr>
        <w:spacing w:line="240" w:lineRule="auto"/>
        <w:ind w:firstLine="709"/>
        <w:jc w:val="center"/>
        <w:rPr>
          <w:rFonts w:ascii="Times New Roman" w:hAnsi="Times New Roman"/>
          <w:i/>
          <w:color w:val="auto"/>
          <w:sz w:val="20"/>
          <w:szCs w:val="20"/>
        </w:rPr>
      </w:pPr>
    </w:p>
    <w:p w:rsidR="00712779" w:rsidRPr="001D3CE6" w:rsidRDefault="00712779" w:rsidP="00712779">
      <w:pPr>
        <w:spacing w:line="240" w:lineRule="auto"/>
        <w:ind w:firstLine="709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1D3CE6">
        <w:rPr>
          <w:rFonts w:ascii="Times New Roman" w:hAnsi="Times New Roman"/>
          <w:i/>
          <w:color w:val="auto"/>
          <w:sz w:val="20"/>
          <w:szCs w:val="20"/>
        </w:rPr>
        <w:t>Сведения об авторах:</w:t>
      </w:r>
    </w:p>
    <w:p w:rsidR="00712779" w:rsidRPr="001D3CE6" w:rsidRDefault="00712779" w:rsidP="00712779">
      <w:pPr>
        <w:spacing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1D3CE6">
        <w:rPr>
          <w:rFonts w:ascii="Times New Roman" w:hAnsi="Times New Roman"/>
          <w:color w:val="auto"/>
          <w:sz w:val="20"/>
          <w:szCs w:val="20"/>
        </w:rPr>
        <w:t xml:space="preserve">Писаренко Анатолий Иванович, акад. РАН, </w:t>
      </w:r>
      <w:r w:rsidR="00970C44">
        <w:rPr>
          <w:rFonts w:ascii="Times New Roman" w:hAnsi="Times New Roman"/>
          <w:color w:val="auto"/>
          <w:sz w:val="20"/>
          <w:szCs w:val="20"/>
        </w:rPr>
        <w:t xml:space="preserve">Почетный </w:t>
      </w:r>
      <w:r w:rsidRPr="001D3CE6">
        <w:rPr>
          <w:rFonts w:ascii="Times New Roman" w:hAnsi="Times New Roman"/>
          <w:color w:val="auto"/>
          <w:sz w:val="20"/>
          <w:szCs w:val="20"/>
        </w:rPr>
        <w:t>Президент Российского общества лесоводов, 115184, Москва, Пятницкая ул., 59/19, тел.: 8</w:t>
      </w:r>
      <w:r w:rsidR="00C45212">
        <w:rPr>
          <w:rFonts w:ascii="Times New Roman" w:hAnsi="Times New Roman"/>
          <w:color w:val="auto"/>
          <w:sz w:val="20"/>
          <w:szCs w:val="20"/>
        </w:rPr>
        <w:t xml:space="preserve"> (</w:t>
      </w:r>
      <w:r w:rsidRPr="001D3CE6">
        <w:rPr>
          <w:rFonts w:ascii="Times New Roman" w:hAnsi="Times New Roman"/>
          <w:color w:val="auto"/>
          <w:sz w:val="20"/>
          <w:szCs w:val="20"/>
        </w:rPr>
        <w:t>499</w:t>
      </w:r>
      <w:r w:rsidR="00C45212">
        <w:rPr>
          <w:rFonts w:ascii="Times New Roman" w:hAnsi="Times New Roman"/>
          <w:color w:val="auto"/>
          <w:sz w:val="20"/>
          <w:szCs w:val="20"/>
        </w:rPr>
        <w:t xml:space="preserve">) </w:t>
      </w:r>
      <w:r w:rsidRPr="001D3CE6">
        <w:rPr>
          <w:rFonts w:ascii="Times New Roman" w:hAnsi="Times New Roman"/>
          <w:color w:val="auto"/>
          <w:sz w:val="20"/>
          <w:szCs w:val="20"/>
        </w:rPr>
        <w:t>230-85-15.</w:t>
      </w:r>
    </w:p>
    <w:p w:rsidR="00712779" w:rsidRPr="001D3CE6" w:rsidRDefault="00712779" w:rsidP="00712779">
      <w:pPr>
        <w:spacing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1D3CE6">
        <w:rPr>
          <w:rFonts w:ascii="Times New Roman" w:hAnsi="Times New Roman"/>
          <w:color w:val="auto"/>
          <w:sz w:val="20"/>
          <w:szCs w:val="20"/>
        </w:rPr>
        <w:t>Страхов Валентин Викторович, д.с.-х.н., г.н.с. ВНИИ лесоводства и механизации лесного хозяйства Рослесхоза, 141202, Московская обл., Пушкинский р-н, г. Пушкино, ул. Иркутская, 15, тел.: 8</w:t>
      </w:r>
      <w:r w:rsidR="00C45212">
        <w:rPr>
          <w:rFonts w:ascii="Times New Roman" w:hAnsi="Times New Roman"/>
          <w:color w:val="auto"/>
          <w:sz w:val="20"/>
          <w:szCs w:val="20"/>
        </w:rPr>
        <w:t xml:space="preserve"> (</w:t>
      </w:r>
      <w:r w:rsidRPr="001D3CE6">
        <w:rPr>
          <w:rFonts w:ascii="Times New Roman" w:hAnsi="Times New Roman"/>
          <w:color w:val="auto"/>
          <w:sz w:val="20"/>
          <w:szCs w:val="20"/>
        </w:rPr>
        <w:t>9</w:t>
      </w:r>
      <w:r>
        <w:rPr>
          <w:rFonts w:ascii="Times New Roman" w:hAnsi="Times New Roman"/>
          <w:color w:val="auto"/>
          <w:sz w:val="20"/>
          <w:szCs w:val="20"/>
        </w:rPr>
        <w:t>85</w:t>
      </w:r>
      <w:r w:rsidR="00C45212">
        <w:rPr>
          <w:rFonts w:ascii="Times New Roman" w:hAnsi="Times New Roman"/>
          <w:color w:val="auto"/>
          <w:sz w:val="20"/>
          <w:szCs w:val="20"/>
        </w:rPr>
        <w:t>)</w:t>
      </w:r>
      <w:r w:rsidRPr="001D3CE6">
        <w:rPr>
          <w:rFonts w:ascii="Times New Roman" w:hAnsi="Times New Roman"/>
          <w:color w:val="auto"/>
          <w:sz w:val="20"/>
          <w:szCs w:val="20"/>
        </w:rPr>
        <w:t>-</w:t>
      </w:r>
      <w:r>
        <w:rPr>
          <w:rFonts w:ascii="Times New Roman" w:hAnsi="Times New Roman"/>
          <w:color w:val="auto"/>
          <w:sz w:val="20"/>
          <w:szCs w:val="20"/>
        </w:rPr>
        <w:t>050</w:t>
      </w:r>
      <w:r w:rsidRPr="001D3CE6">
        <w:rPr>
          <w:rFonts w:ascii="Times New Roman" w:hAnsi="Times New Roman"/>
          <w:color w:val="auto"/>
          <w:sz w:val="20"/>
          <w:szCs w:val="20"/>
        </w:rPr>
        <w:t>-7</w:t>
      </w:r>
      <w:r>
        <w:rPr>
          <w:rFonts w:ascii="Times New Roman" w:hAnsi="Times New Roman"/>
          <w:color w:val="auto"/>
          <w:sz w:val="20"/>
          <w:szCs w:val="20"/>
        </w:rPr>
        <w:t>5</w:t>
      </w:r>
      <w:r w:rsidRPr="001D3CE6">
        <w:rPr>
          <w:rFonts w:ascii="Times New Roman" w:hAnsi="Times New Roman"/>
          <w:color w:val="auto"/>
          <w:sz w:val="20"/>
          <w:szCs w:val="20"/>
        </w:rPr>
        <w:t>-5</w:t>
      </w:r>
      <w:r>
        <w:rPr>
          <w:rFonts w:ascii="Times New Roman" w:hAnsi="Times New Roman"/>
          <w:color w:val="auto"/>
          <w:sz w:val="20"/>
          <w:szCs w:val="20"/>
        </w:rPr>
        <w:t>8</w:t>
      </w:r>
      <w:r w:rsidRPr="001D3CE6">
        <w:rPr>
          <w:rFonts w:ascii="Times New Roman" w:hAnsi="Times New Roman"/>
          <w:color w:val="auto"/>
          <w:sz w:val="20"/>
          <w:szCs w:val="20"/>
        </w:rPr>
        <w:t>, е-mail: strakhov48@mail.ru.</w:t>
      </w:r>
    </w:p>
    <w:sectPr w:rsidR="00712779" w:rsidRPr="001D3CE6" w:rsidSect="000B4C6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21" w:rsidRDefault="00EA2921" w:rsidP="00044CFC">
      <w:pPr>
        <w:spacing w:line="240" w:lineRule="auto"/>
      </w:pPr>
      <w:r>
        <w:separator/>
      </w:r>
    </w:p>
  </w:endnote>
  <w:endnote w:type="continuationSeparator" w:id="1">
    <w:p w:rsidR="00EA2921" w:rsidRDefault="00EA2921" w:rsidP="0004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385868841"/>
      <w:docPartObj>
        <w:docPartGallery w:val="Page Numbers (Bottom of Page)"/>
        <w:docPartUnique/>
      </w:docPartObj>
    </w:sdtPr>
    <w:sdtContent>
      <w:p w:rsidR="00253FAC" w:rsidRDefault="00B83B74">
        <w:pPr>
          <w:pStyle w:val="a5"/>
          <w:jc w:val="center"/>
        </w:pPr>
        <w:fldSimple w:instr="PAGE   \* MERGEFORMAT">
          <w:r w:rsidR="00EA2921">
            <w:rPr>
              <w:noProof/>
            </w:rPr>
            <w:t>1</w:t>
          </w:r>
        </w:fldSimple>
      </w:p>
    </w:sdtContent>
  </w:sdt>
  <w:p w:rsidR="00253FAC" w:rsidRDefault="00253F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AC" w:rsidRDefault="00253FAC">
    <w:pPr>
      <w:pStyle w:val="a5"/>
      <w:jc w:val="center"/>
    </w:pPr>
  </w:p>
  <w:p w:rsidR="00253FAC" w:rsidRDefault="00253F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21" w:rsidRDefault="00EA2921" w:rsidP="00044CFC">
      <w:pPr>
        <w:spacing w:line="240" w:lineRule="auto"/>
      </w:pPr>
      <w:r>
        <w:separator/>
      </w:r>
    </w:p>
  </w:footnote>
  <w:footnote w:type="continuationSeparator" w:id="1">
    <w:p w:rsidR="00EA2921" w:rsidRDefault="00EA2921" w:rsidP="00044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F74"/>
    <w:multiLevelType w:val="hybridMultilevel"/>
    <w:tmpl w:val="148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4F1"/>
    <w:multiLevelType w:val="hybridMultilevel"/>
    <w:tmpl w:val="748C8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6A2099"/>
    <w:multiLevelType w:val="hybridMultilevel"/>
    <w:tmpl w:val="96BC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F50"/>
    <w:multiLevelType w:val="hybridMultilevel"/>
    <w:tmpl w:val="8F3E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674E"/>
    <w:multiLevelType w:val="hybridMultilevel"/>
    <w:tmpl w:val="EEF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16680"/>
    <w:multiLevelType w:val="hybridMultilevel"/>
    <w:tmpl w:val="FE3A8F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4CFC"/>
    <w:rsid w:val="00044CFC"/>
    <w:rsid w:val="000B4C68"/>
    <w:rsid w:val="000E534A"/>
    <w:rsid w:val="00161374"/>
    <w:rsid w:val="001B22BC"/>
    <w:rsid w:val="001C5F90"/>
    <w:rsid w:val="002036BF"/>
    <w:rsid w:val="00253FAC"/>
    <w:rsid w:val="002543BC"/>
    <w:rsid w:val="0028154E"/>
    <w:rsid w:val="00306AA9"/>
    <w:rsid w:val="00322848"/>
    <w:rsid w:val="00362B4A"/>
    <w:rsid w:val="00372A3D"/>
    <w:rsid w:val="00401411"/>
    <w:rsid w:val="00444D48"/>
    <w:rsid w:val="004E4D36"/>
    <w:rsid w:val="0053138D"/>
    <w:rsid w:val="005D6F85"/>
    <w:rsid w:val="00635577"/>
    <w:rsid w:val="0066182A"/>
    <w:rsid w:val="00712779"/>
    <w:rsid w:val="00793BEA"/>
    <w:rsid w:val="007D3A51"/>
    <w:rsid w:val="007E739B"/>
    <w:rsid w:val="00886367"/>
    <w:rsid w:val="008E6866"/>
    <w:rsid w:val="00970C44"/>
    <w:rsid w:val="00B11C13"/>
    <w:rsid w:val="00B259F6"/>
    <w:rsid w:val="00B636A7"/>
    <w:rsid w:val="00B83B74"/>
    <w:rsid w:val="00BC3BC3"/>
    <w:rsid w:val="00BF0F95"/>
    <w:rsid w:val="00C12AD9"/>
    <w:rsid w:val="00C45212"/>
    <w:rsid w:val="00DA4EC4"/>
    <w:rsid w:val="00DC4360"/>
    <w:rsid w:val="00EA2921"/>
    <w:rsid w:val="00EC0658"/>
    <w:rsid w:val="00F9040F"/>
    <w:rsid w:val="00FA6166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4CF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4C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CFC"/>
  </w:style>
  <w:style w:type="character" w:styleId="a7">
    <w:name w:val="Hyperlink"/>
    <w:basedOn w:val="a0"/>
    <w:uiPriority w:val="99"/>
    <w:unhideWhenUsed/>
    <w:rsid w:val="00044CFC"/>
    <w:rPr>
      <w:color w:val="0000FF"/>
      <w:u w:val="single"/>
    </w:rPr>
  </w:style>
  <w:style w:type="character" w:styleId="a8">
    <w:name w:val="footnote reference"/>
    <w:aliases w:val="Знак сноски-FN"/>
    <w:basedOn w:val="a0"/>
    <w:uiPriority w:val="99"/>
    <w:semiHidden/>
    <w:unhideWhenUsed/>
    <w:rsid w:val="00044CFC"/>
    <w:rPr>
      <w:vertAlign w:val="superscript"/>
    </w:rPr>
  </w:style>
  <w:style w:type="paragraph" w:styleId="a9">
    <w:name w:val="List Paragraph"/>
    <w:basedOn w:val="a"/>
    <w:uiPriority w:val="34"/>
    <w:qFormat/>
    <w:rsid w:val="000E5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bCs/>
      <w:color w:val="0000FF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4CF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C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CFC"/>
  </w:style>
  <w:style w:type="character" w:styleId="a7">
    <w:name w:val="Hyperlink"/>
    <w:basedOn w:val="a0"/>
    <w:uiPriority w:val="99"/>
    <w:unhideWhenUsed/>
    <w:rsid w:val="00044CFC"/>
    <w:rPr>
      <w:color w:val="0000FF"/>
      <w:u w:val="single"/>
    </w:rPr>
  </w:style>
  <w:style w:type="character" w:styleId="a8">
    <w:name w:val="footnote reference"/>
    <w:aliases w:val="Знак сноски-FN"/>
    <w:basedOn w:val="a0"/>
    <w:uiPriority w:val="99"/>
    <w:semiHidden/>
    <w:unhideWhenUsed/>
    <w:rsid w:val="00044CFC"/>
    <w:rPr>
      <w:vertAlign w:val="superscript"/>
    </w:rPr>
  </w:style>
  <w:style w:type="paragraph" w:styleId="a9">
    <w:name w:val="List Paragraph"/>
    <w:basedOn w:val="a"/>
    <w:uiPriority w:val="34"/>
    <w:qFormat/>
    <w:rsid w:val="000E5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bCs/>
      <w:color w:val="0000FF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orestry/fra20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14</cp:revision>
  <dcterms:created xsi:type="dcterms:W3CDTF">2016-01-25T06:06:00Z</dcterms:created>
  <dcterms:modified xsi:type="dcterms:W3CDTF">2017-02-21T08:44:00Z</dcterms:modified>
</cp:coreProperties>
</file>